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A1E2" w14:textId="77777777" w:rsidR="00B638D9" w:rsidRDefault="0071470A">
      <w:pPr>
        <w:pStyle w:val="Title"/>
        <w:ind w:right="1440"/>
      </w:pPr>
      <w:bookmarkStart w:id="0" w:name="_5fakyewvleq1" w:colFirst="0" w:colLast="0"/>
      <w:bookmarkEnd w:id="0"/>
      <w:r>
        <w:t>Study Guide</w:t>
      </w:r>
    </w:p>
    <w:p w14:paraId="6C292DAA" w14:textId="271321B0" w:rsidR="00B638D9" w:rsidRDefault="001E27E9">
      <w:pPr>
        <w:pStyle w:val="Title"/>
        <w:ind w:right="1440"/>
      </w:pPr>
      <w:bookmarkStart w:id="1" w:name="_isisgkzzunn" w:colFirst="0" w:colLast="0"/>
      <w:bookmarkStart w:id="2" w:name="_9mh14vrn87zw" w:colFirst="0" w:colLast="0"/>
      <w:bookmarkEnd w:id="1"/>
      <w:bookmarkEnd w:id="2"/>
      <w:r w:rsidRPr="001E27E9">
        <w:rPr>
          <w:rFonts w:ascii="Montserrat" w:eastAsia="Montserrat" w:hAnsi="Montserrat" w:cs="Montserrat"/>
          <w:sz w:val="22"/>
          <w:szCs w:val="22"/>
        </w:rPr>
        <w:t>Exam Review and Tips for CCSP®</w:t>
      </w:r>
    </w:p>
    <w:p w14:paraId="02C9BDE9" w14:textId="13F0D720" w:rsidR="00B638D9" w:rsidRDefault="0071470A">
      <w:pPr>
        <w:pStyle w:val="Heading1"/>
        <w:ind w:right="1440"/>
      </w:pPr>
      <w:bookmarkStart w:id="3" w:name="_43ymecatclk0" w:colFirst="0" w:colLast="0"/>
      <w:bookmarkEnd w:id="3"/>
      <w:r>
        <w:t>Checklist of Exam Objectives: Areas to Study</w:t>
      </w:r>
    </w:p>
    <w:p w14:paraId="1979959C" w14:textId="036B2636" w:rsidR="003E595E" w:rsidRDefault="001E27E9" w:rsidP="003E595E">
      <w:r>
        <w:t xml:space="preserve">If you are taking the exam before August 2022, you should utilize the CCSP </w:t>
      </w:r>
      <w:r w:rsidR="001C2D04">
        <w:t>outline dated August 2019 to prepare for</w:t>
      </w:r>
      <w:r>
        <w:t xml:space="preserve"> the exam.</w:t>
      </w:r>
    </w:p>
    <w:p w14:paraId="14954147" w14:textId="6C7E859B" w:rsidR="00BB651C" w:rsidRDefault="00000000" w:rsidP="003E595E">
      <w:hyperlink r:id="rId7" w:history="1">
        <w:r w:rsidR="00BB651C" w:rsidRPr="00EF40F3">
          <w:rPr>
            <w:rStyle w:val="Hyperlink"/>
          </w:rPr>
          <w:t>https://www.isc2.org/Certifications/CCSP/Certification-Exam-Outline</w:t>
        </w:r>
      </w:hyperlink>
    </w:p>
    <w:p w14:paraId="0E796959" w14:textId="77777777" w:rsidR="00BB651C" w:rsidRDefault="00BB651C" w:rsidP="003E595E"/>
    <w:p w14:paraId="2A33A0C2" w14:textId="32E457A5" w:rsidR="001E27E9" w:rsidRDefault="001E27E9" w:rsidP="001E27E9">
      <w:r>
        <w:t xml:space="preserve">If you are taking the exam after August 2022, you should utilize the CCSP </w:t>
      </w:r>
      <w:r w:rsidR="001C2D04">
        <w:t>outline dated August 2022 to prepare for</w:t>
      </w:r>
      <w:r>
        <w:t xml:space="preserve"> the exam.</w:t>
      </w:r>
    </w:p>
    <w:p w14:paraId="45329D98" w14:textId="3B780162" w:rsidR="00BB651C" w:rsidRDefault="00000000" w:rsidP="001E27E9">
      <w:hyperlink r:id="rId8" w:history="1">
        <w:r w:rsidR="00BB651C" w:rsidRPr="00EF40F3">
          <w:rPr>
            <w:rStyle w:val="Hyperlink"/>
          </w:rPr>
          <w:t>https://www.isc2.org/-/media/ISC2/Certifications/Exam-Outlines/CCSP-Exam-Outline-2022.ashx</w:t>
        </w:r>
      </w:hyperlink>
    </w:p>
    <w:p w14:paraId="27453E94" w14:textId="77777777" w:rsidR="00BB651C" w:rsidRDefault="00BB651C" w:rsidP="001E27E9"/>
    <w:p w14:paraId="29D9F775" w14:textId="7149728D" w:rsidR="001E27E9" w:rsidRDefault="00BB651C" w:rsidP="003E595E">
      <w:r>
        <w:t xml:space="preserve">Use the free flashcards to help assess your understanding and the </w:t>
      </w:r>
      <w:r w:rsidR="006A5A9B" w:rsidRPr="006A5A9B">
        <w:t>study guides' assessment questions that accompany the CCSP certification path courses</w:t>
      </w:r>
      <w:r>
        <w:t>.</w:t>
      </w:r>
    </w:p>
    <w:p w14:paraId="67281A72" w14:textId="420B44F2" w:rsidR="00226A16" w:rsidRDefault="00000000" w:rsidP="003E595E">
      <w:hyperlink r:id="rId9" w:tgtFrame="_blank" w:history="1">
        <w:r w:rsidR="0025500F">
          <w:rPr>
            <w:rStyle w:val="Hyperlink"/>
            <w:rFonts w:ascii="Arial" w:hAnsi="Arial" w:cs="Arial"/>
            <w:color w:val="1155CC"/>
            <w:shd w:val="clear" w:color="auto" w:fill="FFFFFF"/>
          </w:rPr>
          <w:t>https://cloud.connect.isc2.org/ccsp-flashcards</w:t>
        </w:r>
      </w:hyperlink>
    </w:p>
    <w:p w14:paraId="04A41362" w14:textId="77777777" w:rsidR="001E27E9" w:rsidRDefault="001E27E9" w:rsidP="003E595E"/>
    <w:p w14:paraId="1183C66F" w14:textId="07605304" w:rsidR="001E27E9" w:rsidRDefault="001E27E9" w:rsidP="003E595E"/>
    <w:p w14:paraId="155D66E5" w14:textId="77777777" w:rsidR="001E27E9" w:rsidRDefault="001E27E9" w:rsidP="003E595E"/>
    <w:p w14:paraId="25022615" w14:textId="21ADB3CC" w:rsidR="00B638D9" w:rsidRDefault="0071470A">
      <w:pPr>
        <w:pStyle w:val="Heading1"/>
        <w:ind w:right="1440"/>
      </w:pPr>
      <w:bookmarkStart w:id="4" w:name="_80kffaf3t53p" w:colFirst="0" w:colLast="0"/>
      <w:bookmarkEnd w:id="4"/>
      <w:r>
        <w:t>What you need to know</w:t>
      </w:r>
    </w:p>
    <w:p w14:paraId="5AD2D457" w14:textId="77777777" w:rsidR="00226A16" w:rsidRPr="00226A16" w:rsidRDefault="00226A16" w:rsidP="00226A16">
      <w:pPr>
        <w:rPr>
          <w:lang w:val="en-US"/>
        </w:rPr>
      </w:pPr>
      <w:bookmarkStart w:id="5" w:name="_bm9ugkwmd07x" w:colFirst="0" w:colLast="0"/>
      <w:bookmarkEnd w:id="5"/>
      <w:r w:rsidRPr="00226A16">
        <w:rPr>
          <w:lang w:val="en-US"/>
        </w:rPr>
        <w:t>CCSP Examination Information</w:t>
      </w:r>
    </w:p>
    <w:tbl>
      <w:tblPr>
        <w:tblW w:w="16800" w:type="dxa"/>
        <w:tblCellSpacing w:w="15" w:type="dxa"/>
        <w:tblCellMar>
          <w:top w:w="15" w:type="dxa"/>
          <w:left w:w="15" w:type="dxa"/>
          <w:bottom w:w="15" w:type="dxa"/>
          <w:right w:w="15" w:type="dxa"/>
        </w:tblCellMar>
        <w:tblLook w:val="04A0" w:firstRow="1" w:lastRow="0" w:firstColumn="1" w:lastColumn="0" w:noHBand="0" w:noVBand="1"/>
      </w:tblPr>
      <w:tblGrid>
        <w:gridCol w:w="2520"/>
        <w:gridCol w:w="14280"/>
      </w:tblGrid>
      <w:tr w:rsidR="00226A16" w:rsidRPr="00226A16" w14:paraId="63D255C9" w14:textId="77777777" w:rsidTr="00226A16">
        <w:trPr>
          <w:tblCellSpacing w:w="15" w:type="dxa"/>
        </w:trPr>
        <w:tc>
          <w:tcPr>
            <w:tcW w:w="2475" w:type="dxa"/>
            <w:tcBorders>
              <w:top w:val="nil"/>
              <w:left w:val="nil"/>
              <w:bottom w:val="single" w:sz="6" w:space="0" w:color="E4E3E8"/>
              <w:right w:val="nil"/>
            </w:tcBorders>
            <w:hideMark/>
          </w:tcPr>
          <w:p w14:paraId="6528E5CB" w14:textId="77777777" w:rsidR="00226A16" w:rsidRPr="00226A16" w:rsidRDefault="00226A16" w:rsidP="00226A16">
            <w:pPr>
              <w:rPr>
                <w:b/>
                <w:bCs/>
                <w:lang w:val="en-US"/>
              </w:rPr>
            </w:pPr>
            <w:r w:rsidRPr="00226A16">
              <w:rPr>
                <w:b/>
                <w:bCs/>
                <w:lang w:val="en-US"/>
              </w:rPr>
              <w:t>Length of exam</w:t>
            </w:r>
          </w:p>
        </w:tc>
        <w:tc>
          <w:tcPr>
            <w:tcW w:w="14235" w:type="dxa"/>
            <w:tcBorders>
              <w:top w:val="nil"/>
              <w:left w:val="nil"/>
              <w:bottom w:val="single" w:sz="6" w:space="0" w:color="E4E3E8"/>
              <w:right w:val="nil"/>
            </w:tcBorders>
            <w:hideMark/>
          </w:tcPr>
          <w:p w14:paraId="6D0494EE" w14:textId="77777777" w:rsidR="00226A16" w:rsidRPr="00226A16" w:rsidRDefault="00226A16" w:rsidP="00226A16">
            <w:pPr>
              <w:rPr>
                <w:lang w:val="en-US"/>
              </w:rPr>
            </w:pPr>
            <w:r w:rsidRPr="00226A16">
              <w:rPr>
                <w:lang w:val="en-US"/>
              </w:rPr>
              <w:t>3 hours</w:t>
            </w:r>
          </w:p>
        </w:tc>
      </w:tr>
      <w:tr w:rsidR="00226A16" w:rsidRPr="00226A16" w14:paraId="052A9B7F" w14:textId="77777777" w:rsidTr="00226A16">
        <w:trPr>
          <w:tblCellSpacing w:w="15" w:type="dxa"/>
        </w:trPr>
        <w:tc>
          <w:tcPr>
            <w:tcW w:w="2475" w:type="dxa"/>
            <w:tcBorders>
              <w:top w:val="nil"/>
              <w:left w:val="nil"/>
              <w:bottom w:val="single" w:sz="6" w:space="0" w:color="E4E3E8"/>
              <w:right w:val="nil"/>
            </w:tcBorders>
            <w:hideMark/>
          </w:tcPr>
          <w:p w14:paraId="1731EC72" w14:textId="77777777" w:rsidR="00226A16" w:rsidRPr="00226A16" w:rsidRDefault="00226A16" w:rsidP="00226A16">
            <w:pPr>
              <w:rPr>
                <w:b/>
                <w:bCs/>
                <w:lang w:val="en-US"/>
              </w:rPr>
            </w:pPr>
            <w:r w:rsidRPr="00226A16">
              <w:rPr>
                <w:b/>
                <w:bCs/>
                <w:lang w:val="en-US"/>
              </w:rPr>
              <w:t>Number of items</w:t>
            </w:r>
          </w:p>
        </w:tc>
        <w:tc>
          <w:tcPr>
            <w:tcW w:w="14235" w:type="dxa"/>
            <w:tcBorders>
              <w:top w:val="nil"/>
              <w:left w:val="nil"/>
              <w:bottom w:val="single" w:sz="6" w:space="0" w:color="E4E3E8"/>
              <w:right w:val="nil"/>
            </w:tcBorders>
            <w:hideMark/>
          </w:tcPr>
          <w:p w14:paraId="71487E85" w14:textId="77777777" w:rsidR="00226A16" w:rsidRPr="00226A16" w:rsidRDefault="00226A16" w:rsidP="00226A16">
            <w:pPr>
              <w:rPr>
                <w:lang w:val="en-US"/>
              </w:rPr>
            </w:pPr>
            <w:r w:rsidRPr="00226A16">
              <w:rPr>
                <w:lang w:val="en-US"/>
              </w:rPr>
              <w:t>125</w:t>
            </w:r>
          </w:p>
        </w:tc>
      </w:tr>
      <w:tr w:rsidR="00226A16" w:rsidRPr="00226A16" w14:paraId="735F705D" w14:textId="77777777" w:rsidTr="00226A16">
        <w:trPr>
          <w:tblCellSpacing w:w="15" w:type="dxa"/>
        </w:trPr>
        <w:tc>
          <w:tcPr>
            <w:tcW w:w="2475" w:type="dxa"/>
            <w:tcBorders>
              <w:top w:val="nil"/>
              <w:left w:val="nil"/>
              <w:bottom w:val="single" w:sz="6" w:space="0" w:color="E4E3E8"/>
              <w:right w:val="nil"/>
            </w:tcBorders>
            <w:hideMark/>
          </w:tcPr>
          <w:p w14:paraId="4E9C0F42" w14:textId="77777777" w:rsidR="00226A16" w:rsidRPr="00226A16" w:rsidRDefault="00226A16" w:rsidP="00226A16">
            <w:pPr>
              <w:rPr>
                <w:b/>
                <w:bCs/>
                <w:lang w:val="en-US"/>
              </w:rPr>
            </w:pPr>
            <w:r w:rsidRPr="00226A16">
              <w:rPr>
                <w:b/>
                <w:bCs/>
                <w:lang w:val="en-US"/>
              </w:rPr>
              <w:t>Item format</w:t>
            </w:r>
          </w:p>
        </w:tc>
        <w:tc>
          <w:tcPr>
            <w:tcW w:w="14235" w:type="dxa"/>
            <w:tcBorders>
              <w:top w:val="nil"/>
              <w:left w:val="nil"/>
              <w:bottom w:val="single" w:sz="6" w:space="0" w:color="E4E3E8"/>
              <w:right w:val="nil"/>
            </w:tcBorders>
            <w:hideMark/>
          </w:tcPr>
          <w:p w14:paraId="540232B0" w14:textId="77777777" w:rsidR="00226A16" w:rsidRPr="00226A16" w:rsidRDefault="00226A16" w:rsidP="00226A16">
            <w:pPr>
              <w:rPr>
                <w:lang w:val="en-US"/>
              </w:rPr>
            </w:pPr>
            <w:r w:rsidRPr="00226A16">
              <w:rPr>
                <w:lang w:val="en-US"/>
              </w:rPr>
              <w:t>Multiple choice</w:t>
            </w:r>
          </w:p>
        </w:tc>
      </w:tr>
      <w:tr w:rsidR="00226A16" w:rsidRPr="00226A16" w14:paraId="581D084B" w14:textId="77777777" w:rsidTr="00226A16">
        <w:trPr>
          <w:tblCellSpacing w:w="15" w:type="dxa"/>
        </w:trPr>
        <w:tc>
          <w:tcPr>
            <w:tcW w:w="2475" w:type="dxa"/>
            <w:tcBorders>
              <w:top w:val="nil"/>
              <w:left w:val="nil"/>
              <w:bottom w:val="single" w:sz="6" w:space="0" w:color="E4E3E8"/>
              <w:right w:val="nil"/>
            </w:tcBorders>
            <w:hideMark/>
          </w:tcPr>
          <w:p w14:paraId="2F66853D" w14:textId="77777777" w:rsidR="00226A16" w:rsidRPr="00226A16" w:rsidRDefault="00226A16" w:rsidP="00226A16">
            <w:pPr>
              <w:rPr>
                <w:b/>
                <w:bCs/>
                <w:lang w:val="en-US"/>
              </w:rPr>
            </w:pPr>
            <w:r w:rsidRPr="00226A16">
              <w:rPr>
                <w:b/>
                <w:bCs/>
                <w:lang w:val="en-US"/>
              </w:rPr>
              <w:t>Passing grade</w:t>
            </w:r>
          </w:p>
        </w:tc>
        <w:tc>
          <w:tcPr>
            <w:tcW w:w="14235" w:type="dxa"/>
            <w:tcBorders>
              <w:top w:val="nil"/>
              <w:left w:val="nil"/>
              <w:bottom w:val="single" w:sz="6" w:space="0" w:color="E4E3E8"/>
              <w:right w:val="nil"/>
            </w:tcBorders>
            <w:hideMark/>
          </w:tcPr>
          <w:p w14:paraId="0B124CE8" w14:textId="77777777" w:rsidR="00226A16" w:rsidRPr="00226A16" w:rsidRDefault="00226A16" w:rsidP="00226A16">
            <w:pPr>
              <w:rPr>
                <w:lang w:val="en-US"/>
              </w:rPr>
            </w:pPr>
            <w:r w:rsidRPr="00226A16">
              <w:rPr>
                <w:lang w:val="en-US"/>
              </w:rPr>
              <w:t>700 out of 1000 points</w:t>
            </w:r>
          </w:p>
        </w:tc>
      </w:tr>
      <w:tr w:rsidR="00226A16" w:rsidRPr="00226A16" w14:paraId="2E783F5E" w14:textId="77777777" w:rsidTr="00226A16">
        <w:trPr>
          <w:tblCellSpacing w:w="15" w:type="dxa"/>
        </w:trPr>
        <w:tc>
          <w:tcPr>
            <w:tcW w:w="2475" w:type="dxa"/>
            <w:tcBorders>
              <w:top w:val="nil"/>
              <w:left w:val="nil"/>
              <w:bottom w:val="single" w:sz="6" w:space="0" w:color="E4E3E8"/>
              <w:right w:val="nil"/>
            </w:tcBorders>
            <w:hideMark/>
          </w:tcPr>
          <w:p w14:paraId="6CD3FEEF" w14:textId="77777777" w:rsidR="00226A16" w:rsidRPr="00226A16" w:rsidRDefault="00226A16" w:rsidP="00226A16">
            <w:pPr>
              <w:rPr>
                <w:b/>
                <w:bCs/>
                <w:lang w:val="en-US"/>
              </w:rPr>
            </w:pPr>
            <w:r w:rsidRPr="00226A16">
              <w:rPr>
                <w:b/>
                <w:bCs/>
                <w:lang w:val="en-US"/>
              </w:rPr>
              <w:t>Exam language availability</w:t>
            </w:r>
          </w:p>
        </w:tc>
        <w:tc>
          <w:tcPr>
            <w:tcW w:w="14235" w:type="dxa"/>
            <w:tcBorders>
              <w:top w:val="nil"/>
              <w:left w:val="nil"/>
              <w:bottom w:val="single" w:sz="6" w:space="0" w:color="E4E3E8"/>
              <w:right w:val="nil"/>
            </w:tcBorders>
            <w:hideMark/>
          </w:tcPr>
          <w:p w14:paraId="1BE800ED" w14:textId="77777777" w:rsidR="00226A16" w:rsidRPr="00226A16" w:rsidRDefault="00226A16" w:rsidP="00226A16">
            <w:pPr>
              <w:rPr>
                <w:lang w:val="en-US"/>
              </w:rPr>
            </w:pPr>
            <w:r w:rsidRPr="00226A16">
              <w:rPr>
                <w:lang w:val="en-US"/>
              </w:rPr>
              <w:t>English and Japanese</w:t>
            </w:r>
          </w:p>
        </w:tc>
      </w:tr>
      <w:tr w:rsidR="00226A16" w:rsidRPr="00226A16" w14:paraId="331ABE8F" w14:textId="77777777" w:rsidTr="00226A16">
        <w:trPr>
          <w:tblCellSpacing w:w="15" w:type="dxa"/>
        </w:trPr>
        <w:tc>
          <w:tcPr>
            <w:tcW w:w="2475" w:type="dxa"/>
            <w:tcBorders>
              <w:top w:val="nil"/>
              <w:left w:val="nil"/>
              <w:bottom w:val="single" w:sz="6" w:space="0" w:color="E4E3E8"/>
              <w:right w:val="nil"/>
            </w:tcBorders>
            <w:hideMark/>
          </w:tcPr>
          <w:p w14:paraId="5623C6A0" w14:textId="77777777" w:rsidR="00226A16" w:rsidRPr="00226A16" w:rsidRDefault="00226A16" w:rsidP="00226A16">
            <w:pPr>
              <w:rPr>
                <w:b/>
                <w:bCs/>
                <w:lang w:val="en-US"/>
              </w:rPr>
            </w:pPr>
            <w:r w:rsidRPr="00226A16">
              <w:rPr>
                <w:b/>
                <w:bCs/>
                <w:lang w:val="en-US"/>
              </w:rPr>
              <w:t>Testing center</w:t>
            </w:r>
          </w:p>
        </w:tc>
        <w:tc>
          <w:tcPr>
            <w:tcW w:w="14235" w:type="dxa"/>
            <w:tcBorders>
              <w:top w:val="nil"/>
              <w:left w:val="nil"/>
              <w:bottom w:val="single" w:sz="6" w:space="0" w:color="E4E3E8"/>
              <w:right w:val="nil"/>
            </w:tcBorders>
            <w:hideMark/>
          </w:tcPr>
          <w:p w14:paraId="3587BAEC" w14:textId="77777777" w:rsidR="00226A16" w:rsidRPr="00226A16" w:rsidRDefault="00226A16" w:rsidP="00226A16">
            <w:pPr>
              <w:rPr>
                <w:lang w:val="en-US"/>
              </w:rPr>
            </w:pPr>
            <w:r w:rsidRPr="00226A16">
              <w:rPr>
                <w:lang w:val="en-US"/>
              </w:rPr>
              <w:t>Pearson VUE Testing Center</w:t>
            </w:r>
          </w:p>
        </w:tc>
      </w:tr>
    </w:tbl>
    <w:p w14:paraId="20B60223" w14:textId="12A5C6D8" w:rsidR="00213548" w:rsidRDefault="00213548" w:rsidP="00213548">
      <w:pPr>
        <w:rPr>
          <w:lang w:val="en-US"/>
        </w:rPr>
      </w:pPr>
    </w:p>
    <w:p w14:paraId="11FF072B" w14:textId="18ADAFD5" w:rsidR="00221E00" w:rsidRDefault="00221E00" w:rsidP="00221E00">
      <w:pPr>
        <w:pStyle w:val="Heading1"/>
        <w:ind w:right="1440"/>
      </w:pPr>
      <w:r>
        <w:lastRenderedPageBreak/>
        <w:t>How to prepare</w:t>
      </w:r>
    </w:p>
    <w:p w14:paraId="7CCA03B0" w14:textId="6CFC721E" w:rsidR="00221E00" w:rsidRDefault="00221E00" w:rsidP="00213548">
      <w:pPr>
        <w:rPr>
          <w:lang w:val="en-US"/>
        </w:rPr>
      </w:pPr>
    </w:p>
    <w:p w14:paraId="251CB396" w14:textId="331D3AE6" w:rsidR="00221E00" w:rsidRDefault="00221E00" w:rsidP="00221E00">
      <w:pPr>
        <w:rPr>
          <w:rFonts w:ascii="Arial" w:hAnsi="Arial" w:cs="Arial"/>
          <w:color w:val="222222"/>
        </w:rPr>
      </w:pPr>
      <w:r>
        <w:rPr>
          <w:rFonts w:ascii="Arial" w:hAnsi="Arial" w:cs="Arial"/>
          <w:color w:val="222222"/>
          <w:shd w:val="clear" w:color="auto" w:fill="FFFFFF"/>
        </w:rPr>
        <w:t xml:space="preserve">Be sure to prepare by knowing the exam outline </w:t>
      </w:r>
      <w:r w:rsidR="008121A4">
        <w:rPr>
          <w:rFonts w:ascii="Arial" w:hAnsi="Arial" w:cs="Arial"/>
          <w:color w:val="222222"/>
          <w:shd w:val="clear" w:color="auto" w:fill="FFFFFF"/>
        </w:rPr>
        <w:t>in</w:t>
      </w:r>
      <w:r>
        <w:rPr>
          <w:rFonts w:ascii="Arial" w:hAnsi="Arial" w:cs="Arial"/>
          <w:color w:val="222222"/>
          <w:shd w:val="clear" w:color="auto" w:fill="FFFFFF"/>
        </w:rPr>
        <w:t xml:space="preserve"> the following ways:</w:t>
      </w:r>
      <w:r>
        <w:rPr>
          <w:rFonts w:ascii="Arial" w:hAnsi="Arial" w:cs="Arial"/>
          <w:color w:val="222222"/>
        </w:rPr>
        <w:br/>
      </w:r>
      <w:r>
        <w:rPr>
          <w:rFonts w:ascii="Arial" w:hAnsi="Arial" w:cs="Arial"/>
          <w:color w:val="222222"/>
          <w:shd w:val="clear" w:color="auto" w:fill="FFFFFF"/>
        </w:rPr>
        <w:t>1.) Definitions</w:t>
      </w:r>
      <w:r>
        <w:rPr>
          <w:rFonts w:ascii="Arial" w:hAnsi="Arial" w:cs="Arial"/>
          <w:color w:val="222222"/>
        </w:rPr>
        <w:br/>
      </w:r>
      <w:r>
        <w:rPr>
          <w:rFonts w:ascii="Arial" w:hAnsi="Arial" w:cs="Arial"/>
          <w:color w:val="222222"/>
          <w:shd w:val="clear" w:color="auto" w:fill="FFFFFF"/>
        </w:rPr>
        <w:t>2.) Characteristics</w:t>
      </w:r>
      <w:r>
        <w:rPr>
          <w:rFonts w:ascii="Arial" w:hAnsi="Arial" w:cs="Arial"/>
          <w:color w:val="222222"/>
        </w:rPr>
        <w:br/>
      </w:r>
      <w:r>
        <w:rPr>
          <w:rFonts w:ascii="Arial" w:hAnsi="Arial" w:cs="Arial"/>
          <w:color w:val="222222"/>
          <w:shd w:val="clear" w:color="auto" w:fill="FFFFFF"/>
        </w:rPr>
        <w:t>3.) Integrating concepts across domains</w:t>
      </w:r>
      <w:r>
        <w:rPr>
          <w:rFonts w:ascii="Arial" w:hAnsi="Arial" w:cs="Arial"/>
          <w:color w:val="222222"/>
        </w:rPr>
        <w:br/>
      </w:r>
      <w:r>
        <w:rPr>
          <w:rFonts w:ascii="Arial" w:hAnsi="Arial" w:cs="Arial"/>
          <w:color w:val="222222"/>
        </w:rPr>
        <w:br/>
        <w:t xml:space="preserve">Guidelines </w:t>
      </w:r>
      <w:r w:rsidR="008121A4">
        <w:rPr>
          <w:rFonts w:ascii="Arial" w:hAnsi="Arial" w:cs="Arial"/>
          <w:color w:val="222222"/>
        </w:rPr>
        <w:t>for</w:t>
      </w:r>
      <w:r>
        <w:rPr>
          <w:rFonts w:ascii="Arial" w:hAnsi="Arial" w:cs="Arial"/>
          <w:color w:val="222222"/>
        </w:rPr>
        <w:t xml:space="preserve"> approaching questions on the exam:</w:t>
      </w:r>
    </w:p>
    <w:p w14:paraId="5FA0ADC3" w14:textId="2FE17125" w:rsidR="00221E00" w:rsidRDefault="00221E00" w:rsidP="00221E00">
      <w:r>
        <w:rPr>
          <w:rFonts w:ascii="Arial" w:hAnsi="Arial" w:cs="Arial"/>
          <w:color w:val="222222"/>
          <w:shd w:val="clear" w:color="auto" w:fill="FFFFFF"/>
        </w:rPr>
        <w:t xml:space="preserve">A big answer encompasses a smaller </w:t>
      </w:r>
      <w:r w:rsidR="001C2D04">
        <w:rPr>
          <w:rFonts w:ascii="Arial" w:hAnsi="Arial" w:cs="Arial"/>
          <w:color w:val="222222"/>
          <w:shd w:val="clear" w:color="auto" w:fill="FFFFFF"/>
        </w:rPr>
        <w:t>solution</w:t>
      </w:r>
      <w:r>
        <w:rPr>
          <w:rFonts w:ascii="Arial" w:hAnsi="Arial" w:cs="Arial"/>
          <w:color w:val="222222"/>
          <w:shd w:val="clear" w:color="auto" w:fill="FFFFFF"/>
        </w:rPr>
        <w:t xml:space="preserve"> and is correct if it is a general question. Specific questions need specific answers and not general ones.</w:t>
      </w:r>
      <w:r>
        <w:rPr>
          <w:rFonts w:ascii="Arial" w:hAnsi="Arial" w:cs="Arial"/>
          <w:color w:val="222222"/>
        </w:rPr>
        <w:br/>
      </w:r>
      <w:r>
        <w:rPr>
          <w:rFonts w:ascii="Arial" w:hAnsi="Arial" w:cs="Arial"/>
          <w:color w:val="222222"/>
          <w:shd w:val="clear" w:color="auto" w:fill="FFFFFF"/>
        </w:rPr>
        <w:t>Don't choose variables or exceptions that are correct answers with the word “if</w:t>
      </w:r>
      <w:r w:rsidR="008121A4">
        <w:rPr>
          <w:rFonts w:ascii="Arial" w:hAnsi="Arial" w:cs="Arial"/>
          <w:color w:val="222222"/>
          <w:shd w:val="clear" w:color="auto" w:fill="FFFFFF"/>
        </w:rPr>
        <w:t>.” Choose</w:t>
      </w:r>
      <w:r>
        <w:rPr>
          <w:rFonts w:ascii="Arial" w:hAnsi="Arial" w:cs="Arial"/>
          <w:color w:val="222222"/>
          <w:shd w:val="clear" w:color="auto" w:fill="FFFFFF"/>
        </w:rPr>
        <w:t xml:space="preserve"> the standard. Don't supply a definition for the request of characteristic and vice versa.</w:t>
      </w:r>
      <w:r>
        <w:rPr>
          <w:rFonts w:ascii="Arial" w:hAnsi="Arial" w:cs="Arial"/>
          <w:color w:val="222222"/>
        </w:rPr>
        <w:br/>
      </w:r>
      <w:r>
        <w:rPr>
          <w:rFonts w:ascii="Arial" w:hAnsi="Arial" w:cs="Arial"/>
          <w:color w:val="222222"/>
          <w:shd w:val="clear" w:color="auto" w:fill="FFFFFF"/>
        </w:rPr>
        <w:t xml:space="preserve">Don’t the specific implementation unless you are asked for such. </w:t>
      </w:r>
      <w:r w:rsidR="00D95356">
        <w:rPr>
          <w:rFonts w:ascii="Arial" w:hAnsi="Arial" w:cs="Arial"/>
          <w:color w:val="222222"/>
          <w:shd w:val="clear" w:color="auto" w:fill="FFFFFF"/>
        </w:rPr>
        <w:t>Take a manager’s perspective before that of a technician</w:t>
      </w:r>
      <w:r>
        <w:rPr>
          <w:rFonts w:ascii="Arial" w:hAnsi="Arial" w:cs="Arial"/>
          <w:color w:val="222222"/>
          <w:shd w:val="clear" w:color="auto" w:fill="FFFFFF"/>
        </w:rPr>
        <w:t xml:space="preserve">. Training is key to resolving what may appear as a technical problem. Always apply administrative (non-technical) controls before technical. </w:t>
      </w:r>
      <w:r w:rsidR="008121A4">
        <w:rPr>
          <w:rFonts w:ascii="Arial" w:hAnsi="Arial" w:cs="Arial"/>
          <w:color w:val="222222"/>
          <w:shd w:val="clear" w:color="auto" w:fill="FFFFFF"/>
        </w:rPr>
        <w:t>Examples of</w:t>
      </w:r>
      <w:r>
        <w:rPr>
          <w:rFonts w:ascii="Arial" w:hAnsi="Arial" w:cs="Arial"/>
          <w:color w:val="222222"/>
          <w:shd w:val="clear" w:color="auto" w:fill="FFFFFF"/>
        </w:rPr>
        <w:t xml:space="preserve"> administrative control</w:t>
      </w:r>
      <w:r w:rsidR="008121A4">
        <w:rPr>
          <w:rFonts w:ascii="Arial" w:hAnsi="Arial" w:cs="Arial"/>
          <w:color w:val="222222"/>
          <w:shd w:val="clear" w:color="auto" w:fill="FFFFFF"/>
        </w:rPr>
        <w:t>s</w:t>
      </w:r>
      <w:r>
        <w:rPr>
          <w:rFonts w:ascii="Arial" w:hAnsi="Arial" w:cs="Arial"/>
          <w:color w:val="222222"/>
          <w:shd w:val="clear" w:color="auto" w:fill="FFFFFF"/>
        </w:rPr>
        <w:t xml:space="preserve"> </w:t>
      </w:r>
      <w:r w:rsidR="008121A4">
        <w:rPr>
          <w:rFonts w:ascii="Arial" w:hAnsi="Arial" w:cs="Arial"/>
          <w:color w:val="222222"/>
          <w:shd w:val="clear" w:color="auto" w:fill="FFFFFF"/>
        </w:rPr>
        <w:t>are</w:t>
      </w:r>
      <w:r>
        <w:rPr>
          <w:rFonts w:ascii="Arial" w:hAnsi="Arial" w:cs="Arial"/>
          <w:color w:val="222222"/>
          <w:shd w:val="clear" w:color="auto" w:fill="FFFFFF"/>
        </w:rPr>
        <w:t xml:space="preserve"> </w:t>
      </w:r>
      <w:r w:rsidR="008121A4">
        <w:rPr>
          <w:rFonts w:ascii="Arial" w:hAnsi="Arial" w:cs="Arial"/>
          <w:color w:val="222222"/>
          <w:shd w:val="clear" w:color="auto" w:fill="FFFFFF"/>
        </w:rPr>
        <w:t>awareness</w:t>
      </w:r>
      <w:r>
        <w:rPr>
          <w:rFonts w:ascii="Arial" w:hAnsi="Arial" w:cs="Arial"/>
          <w:color w:val="222222"/>
          <w:shd w:val="clear" w:color="auto" w:fill="FFFFFF"/>
        </w:rPr>
        <w:t xml:space="preserve">, training, </w:t>
      </w:r>
      <w:r w:rsidR="008121A4">
        <w:rPr>
          <w:rFonts w:ascii="Arial" w:hAnsi="Arial" w:cs="Arial"/>
          <w:color w:val="222222"/>
          <w:shd w:val="clear" w:color="auto" w:fill="FFFFFF"/>
        </w:rPr>
        <w:t>directives, and</w:t>
      </w:r>
      <w:r>
        <w:rPr>
          <w:rFonts w:ascii="Arial" w:hAnsi="Arial" w:cs="Arial"/>
          <w:color w:val="222222"/>
          <w:shd w:val="clear" w:color="auto" w:fill="FFFFFF"/>
        </w:rPr>
        <w:t xml:space="preserve"> policy.  Sr management is ultimately </w:t>
      </w:r>
      <w:r w:rsidR="008121A4">
        <w:rPr>
          <w:rFonts w:ascii="Arial" w:hAnsi="Arial" w:cs="Arial"/>
          <w:color w:val="222222"/>
          <w:shd w:val="clear" w:color="auto" w:fill="FFFFFF"/>
        </w:rPr>
        <w:t xml:space="preserve">accountable for security, but security is everyone’s responsibility. </w:t>
      </w:r>
    </w:p>
    <w:p w14:paraId="2BB2DA6B" w14:textId="13738F5E" w:rsidR="00221E00" w:rsidRDefault="00221E00" w:rsidP="00213548">
      <w:pPr>
        <w:rPr>
          <w:lang w:val="en-US"/>
        </w:rPr>
      </w:pPr>
    </w:p>
    <w:p w14:paraId="63DB7DD7" w14:textId="77777777" w:rsidR="00B6566C" w:rsidRDefault="00B6566C" w:rsidP="00213548">
      <w:pPr>
        <w:rPr>
          <w:b/>
          <w:bCs/>
          <w:lang w:val="en-US"/>
        </w:rPr>
      </w:pPr>
    </w:p>
    <w:p w14:paraId="534FC9BC" w14:textId="4313A631" w:rsidR="00EB66B4" w:rsidRDefault="00EB66B4" w:rsidP="00213548">
      <w:pPr>
        <w:rPr>
          <w:b/>
          <w:bCs/>
          <w:lang w:val="en-US"/>
        </w:rPr>
      </w:pPr>
      <w:r w:rsidRPr="00EB66B4">
        <w:rPr>
          <w:b/>
          <w:bCs/>
          <w:lang w:val="en-US"/>
        </w:rPr>
        <w:t>TERMS AND DEFINITIONS</w:t>
      </w:r>
    </w:p>
    <w:p w14:paraId="1E41ECEB" w14:textId="77777777" w:rsidR="00A06E05" w:rsidRDefault="00A06E05" w:rsidP="00FC7DC6">
      <w:pPr>
        <w:autoSpaceDE w:val="0"/>
        <w:autoSpaceDN w:val="0"/>
        <w:adjustRightInd w:val="0"/>
        <w:spacing w:line="240" w:lineRule="auto"/>
        <w:rPr>
          <w:rFonts w:ascii="Avenir-Black" w:hAnsi="Avenir-Black" w:cs="Avenir-Black"/>
          <w:b/>
          <w:bCs/>
          <w:sz w:val="24"/>
          <w:szCs w:val="24"/>
          <w:lang w:val="en-US"/>
        </w:rPr>
      </w:pPr>
    </w:p>
    <w:p w14:paraId="04064655" w14:textId="4C489FFC" w:rsidR="00A06E05" w:rsidRPr="00A06E05" w:rsidRDefault="00A06E05" w:rsidP="00A06E05">
      <w:pPr>
        <w:autoSpaceDE w:val="0"/>
        <w:autoSpaceDN w:val="0"/>
        <w:adjustRightInd w:val="0"/>
        <w:spacing w:line="240" w:lineRule="auto"/>
        <w:rPr>
          <w:rFonts w:ascii="Avenir-Black" w:hAnsi="Avenir-Black" w:cs="Avenir-Black"/>
          <w:b/>
          <w:bCs/>
          <w:sz w:val="24"/>
          <w:szCs w:val="24"/>
          <w:lang w:val="en-US"/>
        </w:rPr>
      </w:pPr>
      <w:r w:rsidRPr="00A06E05">
        <w:rPr>
          <w:rFonts w:ascii="Avenir-Black" w:hAnsi="Avenir-Black" w:cs="Avenir-Black"/>
          <w:b/>
          <w:bCs/>
          <w:sz w:val="24"/>
          <w:szCs w:val="24"/>
          <w:lang w:val="en-US"/>
        </w:rPr>
        <w:t>Agent of the</w:t>
      </w:r>
      <w:r>
        <w:rPr>
          <w:rFonts w:ascii="Avenir-Black" w:hAnsi="Avenir-Black" w:cs="Avenir-Black"/>
          <w:b/>
          <w:bCs/>
          <w:sz w:val="24"/>
          <w:szCs w:val="24"/>
          <w:lang w:val="en-US"/>
        </w:rPr>
        <w:t xml:space="preserve"> </w:t>
      </w:r>
      <w:r w:rsidRPr="00A06E05">
        <w:rPr>
          <w:rFonts w:ascii="Avenir-Black" w:hAnsi="Avenir-Black" w:cs="Avenir-Black"/>
          <w:b/>
          <w:bCs/>
          <w:sz w:val="24"/>
          <w:szCs w:val="24"/>
          <w:lang w:val="en-US"/>
        </w:rPr>
        <w:t>government</w:t>
      </w:r>
    </w:p>
    <w:p w14:paraId="3668BBF1" w14:textId="7AE1E00D" w:rsidR="00A06E05" w:rsidRDefault="00A06E05" w:rsidP="00A06E0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 private citizen becomes an agent of the</w:t>
      </w:r>
      <w:r>
        <w:rPr>
          <w:rFonts w:ascii="Avenir-Book" w:hAnsi="Avenir-Book" w:cs="Avenir-Book"/>
          <w:sz w:val="24"/>
          <w:szCs w:val="24"/>
          <w:lang w:val="en-US"/>
        </w:rPr>
        <w:t xml:space="preserve"> </w:t>
      </w:r>
      <w:r>
        <w:rPr>
          <w:rFonts w:ascii="Avenir-Book" w:hAnsi="Avenir-Book" w:cs="Avenir-Book"/>
          <w:sz w:val="24"/>
          <w:szCs w:val="24"/>
          <w:lang w:val="en-US"/>
        </w:rPr>
        <w:t>government when they perform an act that</w:t>
      </w:r>
      <w:r>
        <w:rPr>
          <w:rFonts w:ascii="Avenir-Book" w:hAnsi="Avenir-Book" w:cs="Avenir-Book"/>
          <w:sz w:val="24"/>
          <w:szCs w:val="24"/>
          <w:lang w:val="en-US"/>
        </w:rPr>
        <w:t xml:space="preserve"> </w:t>
      </w:r>
      <w:r>
        <w:rPr>
          <w:rFonts w:ascii="Avenir-Book" w:hAnsi="Avenir-Book" w:cs="Avenir-Book"/>
          <w:sz w:val="24"/>
          <w:szCs w:val="24"/>
          <w:lang w:val="en-US"/>
        </w:rPr>
        <w:t>the government would need a warrant for,</w:t>
      </w:r>
      <w:r>
        <w:rPr>
          <w:rFonts w:ascii="Avenir-Book" w:hAnsi="Avenir-Book" w:cs="Avenir-Book"/>
          <w:sz w:val="24"/>
          <w:szCs w:val="24"/>
          <w:lang w:val="en-US"/>
        </w:rPr>
        <w:t xml:space="preserve"> </w:t>
      </w:r>
      <w:r>
        <w:rPr>
          <w:rFonts w:ascii="Avenir-Book" w:hAnsi="Avenir-Book" w:cs="Avenir-Book"/>
          <w:sz w:val="24"/>
          <w:szCs w:val="24"/>
          <w:lang w:val="en-US"/>
        </w:rPr>
        <w:t>such as a search and seizure. Under those</w:t>
      </w:r>
      <w:r>
        <w:rPr>
          <w:rFonts w:ascii="Avenir-Book" w:hAnsi="Avenir-Book" w:cs="Avenir-Book"/>
          <w:sz w:val="24"/>
          <w:szCs w:val="24"/>
          <w:lang w:val="en-US"/>
        </w:rPr>
        <w:t xml:space="preserve"> </w:t>
      </w:r>
      <w:r>
        <w:rPr>
          <w:rFonts w:ascii="Avenir-Book" w:hAnsi="Avenir-Book" w:cs="Avenir-Book"/>
          <w:sz w:val="24"/>
          <w:szCs w:val="24"/>
          <w:lang w:val="en-US"/>
        </w:rPr>
        <w:t>circumstances, the citizen must follow the</w:t>
      </w:r>
      <w:r>
        <w:rPr>
          <w:rFonts w:ascii="Avenir-Book" w:hAnsi="Avenir-Book" w:cs="Avenir-Book"/>
          <w:sz w:val="24"/>
          <w:szCs w:val="24"/>
          <w:lang w:val="en-US"/>
        </w:rPr>
        <w:t xml:space="preserve"> </w:t>
      </w:r>
      <w:r>
        <w:rPr>
          <w:rFonts w:ascii="Avenir-Book" w:hAnsi="Avenir-Book" w:cs="Avenir-Book"/>
          <w:sz w:val="24"/>
          <w:szCs w:val="24"/>
          <w:lang w:val="en-US"/>
        </w:rPr>
        <w:t>same rules as the government.</w:t>
      </w:r>
    </w:p>
    <w:p w14:paraId="6E9C8AE7" w14:textId="77777777" w:rsidR="00A06E05" w:rsidRDefault="00A06E05" w:rsidP="00A06E05">
      <w:pPr>
        <w:autoSpaceDE w:val="0"/>
        <w:autoSpaceDN w:val="0"/>
        <w:adjustRightInd w:val="0"/>
        <w:spacing w:line="240" w:lineRule="auto"/>
        <w:rPr>
          <w:rFonts w:ascii="Avenir-Book" w:hAnsi="Avenir-Book" w:cs="Avenir-Book"/>
          <w:sz w:val="24"/>
          <w:szCs w:val="24"/>
          <w:lang w:val="en-US"/>
        </w:rPr>
      </w:pPr>
      <w:r w:rsidRPr="00A06E05">
        <w:rPr>
          <w:rFonts w:ascii="Avenir-Black" w:hAnsi="Avenir-Black" w:cs="Avenir-Black"/>
          <w:b/>
          <w:bCs/>
          <w:sz w:val="24"/>
          <w:szCs w:val="24"/>
          <w:lang w:val="en-US"/>
        </w:rPr>
        <w:t xml:space="preserve">Baselines </w:t>
      </w:r>
      <w:r w:rsidRPr="00A06E05">
        <w:rPr>
          <w:rFonts w:ascii="Avenir-Book" w:hAnsi="Avenir-Book" w:cs="Avenir-Book"/>
          <w:b/>
          <w:bCs/>
          <w:sz w:val="24"/>
          <w:szCs w:val="24"/>
          <w:lang w:val="en-US"/>
        </w:rPr>
        <w:t>Minimum requirements</w:t>
      </w:r>
    </w:p>
    <w:p w14:paraId="4D32FA85" w14:textId="6CF2A43E" w:rsidR="00A06E05" w:rsidRDefault="00A06E05" w:rsidP="00A06E0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E</w:t>
      </w:r>
      <w:r>
        <w:rPr>
          <w:rFonts w:ascii="Avenir-Book" w:hAnsi="Avenir-Book" w:cs="Avenir-Book"/>
          <w:sz w:val="24"/>
          <w:szCs w:val="24"/>
          <w:lang w:val="en-US"/>
        </w:rPr>
        <w:t>specially</w:t>
      </w:r>
      <w:r>
        <w:rPr>
          <w:rFonts w:ascii="Avenir-Book" w:hAnsi="Avenir-Book" w:cs="Avenir-Book"/>
          <w:sz w:val="24"/>
          <w:szCs w:val="24"/>
          <w:lang w:val="en-US"/>
        </w:rPr>
        <w:t xml:space="preserve"> </w:t>
      </w:r>
      <w:r>
        <w:rPr>
          <w:rFonts w:ascii="Avenir-Book" w:hAnsi="Avenir-Book" w:cs="Avenir-Book"/>
          <w:sz w:val="24"/>
          <w:szCs w:val="24"/>
          <w:lang w:val="en-US"/>
        </w:rPr>
        <w:t>regarding security as a minimum level.</w:t>
      </w:r>
    </w:p>
    <w:p w14:paraId="1B3DAB72" w14:textId="00EB0C45" w:rsidR="00A06E05" w:rsidRPr="00A06E05" w:rsidRDefault="00A06E05" w:rsidP="00A06E05">
      <w:pPr>
        <w:autoSpaceDE w:val="0"/>
        <w:autoSpaceDN w:val="0"/>
        <w:adjustRightInd w:val="0"/>
        <w:spacing w:line="240" w:lineRule="auto"/>
        <w:rPr>
          <w:rFonts w:ascii="Avenir-Black" w:hAnsi="Avenir-Black" w:cs="Avenir-Black"/>
          <w:b/>
          <w:bCs/>
          <w:sz w:val="24"/>
          <w:szCs w:val="24"/>
          <w:lang w:val="en-US"/>
        </w:rPr>
      </w:pPr>
      <w:r w:rsidRPr="00A06E05">
        <w:rPr>
          <w:rFonts w:ascii="Avenir-Black" w:hAnsi="Avenir-Black" w:cs="Avenir-Black"/>
          <w:b/>
          <w:bCs/>
          <w:sz w:val="24"/>
          <w:szCs w:val="24"/>
          <w:lang w:val="en-US"/>
        </w:rPr>
        <w:t>Cloud Control</w:t>
      </w:r>
      <w:r w:rsidR="00042675">
        <w:rPr>
          <w:rFonts w:ascii="Avenir-Black" w:hAnsi="Avenir-Black" w:cs="Avenir-Black"/>
          <w:b/>
          <w:bCs/>
          <w:sz w:val="24"/>
          <w:szCs w:val="24"/>
          <w:lang w:val="en-US"/>
        </w:rPr>
        <w:t xml:space="preserve">s </w:t>
      </w:r>
      <w:r w:rsidRPr="00A06E05">
        <w:rPr>
          <w:rFonts w:ascii="Avenir-Black" w:hAnsi="Avenir-Black" w:cs="Avenir-Black"/>
          <w:b/>
          <w:bCs/>
          <w:sz w:val="24"/>
          <w:szCs w:val="24"/>
          <w:lang w:val="en-US"/>
        </w:rPr>
        <w:t>Matrix (CCM)</w:t>
      </w:r>
      <w:r w:rsidR="00042675">
        <w:rPr>
          <w:rFonts w:ascii="Avenir-Black" w:hAnsi="Avenir-Black" w:cs="Avenir-Black"/>
          <w:b/>
          <w:bCs/>
          <w:sz w:val="24"/>
          <w:szCs w:val="24"/>
          <w:lang w:val="en-US"/>
        </w:rPr>
        <w:t xml:space="preserve"> </w:t>
      </w:r>
    </w:p>
    <w:p w14:paraId="08A47401" w14:textId="319F7926" w:rsidR="00A06E05" w:rsidRDefault="00A06E05" w:rsidP="00A06E0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Lists and categorizes the domains and</w:t>
      </w:r>
      <w:r>
        <w:rPr>
          <w:rFonts w:ascii="Avenir-Book" w:hAnsi="Avenir-Book" w:cs="Avenir-Book"/>
          <w:sz w:val="24"/>
          <w:szCs w:val="24"/>
          <w:lang w:val="en-US"/>
        </w:rPr>
        <w:t xml:space="preserve"> </w:t>
      </w:r>
      <w:r>
        <w:rPr>
          <w:rFonts w:ascii="Avenir-Book" w:hAnsi="Avenir-Book" w:cs="Avenir-Book"/>
          <w:sz w:val="24"/>
          <w:szCs w:val="24"/>
          <w:lang w:val="en-US"/>
        </w:rPr>
        <w:t>controls, along with which elements and</w:t>
      </w:r>
      <w:r>
        <w:rPr>
          <w:rFonts w:ascii="Avenir-Book" w:hAnsi="Avenir-Book" w:cs="Avenir-Book"/>
          <w:sz w:val="24"/>
          <w:szCs w:val="24"/>
          <w:lang w:val="en-US"/>
        </w:rPr>
        <w:t xml:space="preserve"> </w:t>
      </w:r>
      <w:r>
        <w:rPr>
          <w:rFonts w:ascii="Avenir-Book" w:hAnsi="Avenir-Book" w:cs="Avenir-Book"/>
          <w:sz w:val="24"/>
          <w:szCs w:val="24"/>
          <w:lang w:val="en-US"/>
        </w:rPr>
        <w:t>components are relevant per the controls.</w:t>
      </w:r>
      <w:r>
        <w:rPr>
          <w:rFonts w:ascii="Avenir-Book" w:hAnsi="Avenir-Book" w:cs="Avenir-Book"/>
          <w:sz w:val="24"/>
          <w:szCs w:val="24"/>
          <w:lang w:val="en-US"/>
        </w:rPr>
        <w:t xml:space="preserve"> </w:t>
      </w:r>
      <w:r>
        <w:rPr>
          <w:rFonts w:ascii="Avenir-Book" w:hAnsi="Avenir-Book" w:cs="Avenir-Book"/>
          <w:sz w:val="24"/>
          <w:szCs w:val="24"/>
          <w:lang w:val="en-US"/>
        </w:rPr>
        <w:t>This framework enables cooperation</w:t>
      </w:r>
      <w:r>
        <w:rPr>
          <w:rFonts w:ascii="Avenir-Book" w:hAnsi="Avenir-Book" w:cs="Avenir-Book"/>
          <w:sz w:val="24"/>
          <w:szCs w:val="24"/>
          <w:lang w:val="en-US"/>
        </w:rPr>
        <w:t xml:space="preserve"> </w:t>
      </w:r>
      <w:r>
        <w:rPr>
          <w:rFonts w:ascii="Avenir-Book" w:hAnsi="Avenir-Book" w:cs="Avenir-Book"/>
          <w:sz w:val="24"/>
          <w:szCs w:val="24"/>
          <w:lang w:val="en-US"/>
        </w:rPr>
        <w:t>between cloud consumers and cloud</w:t>
      </w:r>
      <w:r>
        <w:rPr>
          <w:rFonts w:ascii="Avenir-Book" w:hAnsi="Avenir-Book" w:cs="Avenir-Book"/>
          <w:sz w:val="24"/>
          <w:szCs w:val="24"/>
          <w:lang w:val="en-US"/>
        </w:rPr>
        <w:t xml:space="preserve"> </w:t>
      </w:r>
      <w:r>
        <w:rPr>
          <w:rFonts w:ascii="Avenir-Book" w:hAnsi="Avenir-Book" w:cs="Avenir-Book"/>
          <w:sz w:val="24"/>
          <w:szCs w:val="24"/>
          <w:lang w:val="en-US"/>
        </w:rPr>
        <w:t>providers on demonstrating adequate</w:t>
      </w:r>
      <w:r>
        <w:rPr>
          <w:rFonts w:ascii="Avenir-Book" w:hAnsi="Avenir-Book" w:cs="Avenir-Book"/>
          <w:sz w:val="24"/>
          <w:szCs w:val="24"/>
          <w:lang w:val="en-US"/>
        </w:rPr>
        <w:t xml:space="preserve"> </w:t>
      </w:r>
      <w:r>
        <w:rPr>
          <w:rFonts w:ascii="Avenir-Book" w:hAnsi="Avenir-Book" w:cs="Avenir-Book"/>
          <w:sz w:val="24"/>
          <w:szCs w:val="24"/>
          <w:lang w:val="en-US"/>
        </w:rPr>
        <w:t>risk management.</w:t>
      </w:r>
    </w:p>
    <w:p w14:paraId="26F311F4" w14:textId="77777777" w:rsidR="00A06E05" w:rsidRDefault="00A06E05" w:rsidP="00A06E05">
      <w:pPr>
        <w:autoSpaceDE w:val="0"/>
        <w:autoSpaceDN w:val="0"/>
        <w:adjustRightInd w:val="0"/>
        <w:spacing w:line="240" w:lineRule="auto"/>
        <w:rPr>
          <w:rFonts w:ascii="Avenir-Book" w:hAnsi="Avenir-Book" w:cs="Avenir-Book"/>
          <w:sz w:val="24"/>
          <w:szCs w:val="24"/>
          <w:lang w:val="en-US"/>
        </w:rPr>
      </w:pPr>
      <w:r w:rsidRPr="00A06E05">
        <w:rPr>
          <w:rFonts w:ascii="Avenir-Black" w:hAnsi="Avenir-Black" w:cs="Avenir-Black"/>
          <w:b/>
          <w:bCs/>
          <w:sz w:val="24"/>
          <w:szCs w:val="24"/>
          <w:lang w:val="en-US"/>
        </w:rPr>
        <w:t>Conflict of law</w:t>
      </w:r>
    </w:p>
    <w:p w14:paraId="5A837283" w14:textId="28E9DB81" w:rsidR="00A06E05" w:rsidRDefault="00A06E05" w:rsidP="00A06E05">
      <w:pPr>
        <w:autoSpaceDE w:val="0"/>
        <w:autoSpaceDN w:val="0"/>
        <w:adjustRightInd w:val="0"/>
        <w:spacing w:line="240" w:lineRule="auto"/>
        <w:rPr>
          <w:rFonts w:ascii="Avenir-Book" w:hAnsi="Avenir-Book" w:cs="Avenir-Book"/>
          <w:sz w:val="24"/>
          <w:szCs w:val="24"/>
          <w:lang w:val="en-US"/>
        </w:rPr>
      </w:pPr>
      <w:r w:rsidRPr="00A06E05">
        <w:rPr>
          <w:rFonts w:ascii="Avenir-Book" w:hAnsi="Avenir-Book" w:cs="Avenir-Book"/>
          <w:sz w:val="24"/>
          <w:szCs w:val="24"/>
          <w:lang w:val="en-US"/>
        </w:rPr>
        <w:t xml:space="preserve"> </w:t>
      </w:r>
      <w:r>
        <w:rPr>
          <w:rFonts w:ascii="Avenir-Book" w:hAnsi="Avenir-Book" w:cs="Avenir-Book"/>
          <w:sz w:val="24"/>
          <w:szCs w:val="24"/>
          <w:lang w:val="en-US"/>
        </w:rPr>
        <w:t>The field of law that resolves the jurisdiction</w:t>
      </w:r>
      <w:r>
        <w:rPr>
          <w:rFonts w:ascii="Avenir-Book" w:hAnsi="Avenir-Book" w:cs="Avenir-Book"/>
          <w:sz w:val="24"/>
          <w:szCs w:val="24"/>
          <w:lang w:val="en-US"/>
        </w:rPr>
        <w:t xml:space="preserve"> </w:t>
      </w:r>
      <w:r>
        <w:rPr>
          <w:rFonts w:ascii="Avenir-Book" w:hAnsi="Avenir-Book" w:cs="Avenir-Book"/>
          <w:sz w:val="24"/>
          <w:szCs w:val="24"/>
          <w:lang w:val="en-US"/>
        </w:rPr>
        <w:t>of states or nations with laws that are not in</w:t>
      </w:r>
      <w:r>
        <w:rPr>
          <w:rFonts w:ascii="Avenir-Book" w:hAnsi="Avenir-Book" w:cs="Avenir-Book"/>
          <w:sz w:val="24"/>
          <w:szCs w:val="24"/>
          <w:lang w:val="en-US"/>
        </w:rPr>
        <w:t xml:space="preserve"> </w:t>
      </w:r>
      <w:r>
        <w:rPr>
          <w:rFonts w:ascii="Avenir-Book" w:hAnsi="Avenir-Book" w:cs="Avenir-Book"/>
          <w:sz w:val="24"/>
          <w:szCs w:val="24"/>
          <w:lang w:val="en-US"/>
        </w:rPr>
        <w:t>agreement with other states or nations,</w:t>
      </w:r>
      <w:r>
        <w:rPr>
          <w:rFonts w:ascii="Avenir-Book" w:hAnsi="Avenir-Book" w:cs="Avenir-Book"/>
          <w:sz w:val="24"/>
          <w:szCs w:val="24"/>
          <w:lang w:val="en-US"/>
        </w:rPr>
        <w:t xml:space="preserve"> </w:t>
      </w:r>
      <w:r>
        <w:rPr>
          <w:rFonts w:ascii="Avenir-Book" w:hAnsi="Avenir-Book" w:cs="Avenir-Book"/>
          <w:sz w:val="24"/>
          <w:szCs w:val="24"/>
          <w:lang w:val="en-US"/>
        </w:rPr>
        <w:t>either domestically or internationally.</w:t>
      </w:r>
    </w:p>
    <w:p w14:paraId="675A5B2C" w14:textId="77777777" w:rsidR="00A06E05" w:rsidRDefault="00A06E05" w:rsidP="00A06E05">
      <w:pPr>
        <w:autoSpaceDE w:val="0"/>
        <w:autoSpaceDN w:val="0"/>
        <w:adjustRightInd w:val="0"/>
        <w:spacing w:line="240" w:lineRule="auto"/>
        <w:rPr>
          <w:rFonts w:ascii="Avenir-Book" w:hAnsi="Avenir-Book" w:cs="Avenir-Book"/>
          <w:sz w:val="24"/>
          <w:szCs w:val="24"/>
          <w:lang w:val="en-US"/>
        </w:rPr>
      </w:pPr>
      <w:r w:rsidRPr="00A06E05">
        <w:rPr>
          <w:rFonts w:ascii="Avenir-Black" w:hAnsi="Avenir-Black" w:cs="Avenir-Black"/>
          <w:b/>
          <w:bCs/>
          <w:sz w:val="24"/>
          <w:szCs w:val="24"/>
          <w:lang w:val="en-US"/>
        </w:rPr>
        <w:t>Criminal law</w:t>
      </w:r>
      <w:r>
        <w:rPr>
          <w:rFonts w:ascii="Avenir-Black" w:hAnsi="Avenir-Black" w:cs="Avenir-Black"/>
          <w:sz w:val="24"/>
          <w:szCs w:val="24"/>
          <w:lang w:val="en-US"/>
        </w:rPr>
        <w:t xml:space="preserve"> </w:t>
      </w:r>
    </w:p>
    <w:p w14:paraId="502DDD67" w14:textId="4163876B" w:rsidR="00A06E05" w:rsidRDefault="00A06E05" w:rsidP="00A06E0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body of law that relates to crime. It</w:t>
      </w:r>
      <w:r>
        <w:rPr>
          <w:rFonts w:ascii="Avenir-Book" w:hAnsi="Avenir-Book" w:cs="Avenir-Book"/>
          <w:sz w:val="24"/>
          <w:szCs w:val="24"/>
          <w:lang w:val="en-US"/>
        </w:rPr>
        <w:t xml:space="preserve"> </w:t>
      </w:r>
      <w:r>
        <w:rPr>
          <w:rFonts w:ascii="Avenir-Book" w:hAnsi="Avenir-Book" w:cs="Avenir-Book"/>
          <w:sz w:val="24"/>
          <w:szCs w:val="24"/>
          <w:lang w:val="en-US"/>
        </w:rPr>
        <w:t>proscribes conduct perceived as threatening,</w:t>
      </w:r>
      <w:r>
        <w:rPr>
          <w:rFonts w:ascii="Avenir-Book" w:hAnsi="Avenir-Book" w:cs="Avenir-Book"/>
          <w:sz w:val="24"/>
          <w:szCs w:val="24"/>
          <w:lang w:val="en-US"/>
        </w:rPr>
        <w:t xml:space="preserve"> </w:t>
      </w:r>
      <w:r>
        <w:rPr>
          <w:rFonts w:ascii="Avenir-Book" w:hAnsi="Avenir-Book" w:cs="Avenir-Book"/>
          <w:sz w:val="24"/>
          <w:szCs w:val="24"/>
          <w:lang w:val="en-US"/>
        </w:rPr>
        <w:t>harmful, or otherwise endangering to the</w:t>
      </w:r>
      <w:r>
        <w:rPr>
          <w:rFonts w:ascii="Avenir-Book" w:hAnsi="Avenir-Book" w:cs="Avenir-Book"/>
          <w:sz w:val="24"/>
          <w:szCs w:val="24"/>
          <w:lang w:val="en-US"/>
        </w:rPr>
        <w:t xml:space="preserve"> </w:t>
      </w:r>
      <w:r>
        <w:rPr>
          <w:rFonts w:ascii="Avenir-Book" w:hAnsi="Avenir-Book" w:cs="Avenir-Book"/>
          <w:sz w:val="24"/>
          <w:szCs w:val="24"/>
          <w:lang w:val="en-US"/>
        </w:rPr>
        <w:t>property, health, safety, and moral welfare of</w:t>
      </w:r>
      <w:r>
        <w:rPr>
          <w:rFonts w:ascii="Avenir-Book" w:hAnsi="Avenir-Book" w:cs="Avenir-Book"/>
          <w:sz w:val="24"/>
          <w:szCs w:val="24"/>
          <w:lang w:val="en-US"/>
        </w:rPr>
        <w:t xml:space="preserve"> </w:t>
      </w:r>
      <w:r>
        <w:rPr>
          <w:rFonts w:ascii="Avenir-Book" w:hAnsi="Avenir-Book" w:cs="Avenir-Book"/>
          <w:sz w:val="24"/>
          <w:szCs w:val="24"/>
          <w:lang w:val="en-US"/>
        </w:rPr>
        <w:t>people. Most criminal law is established by</w:t>
      </w:r>
      <w:r>
        <w:rPr>
          <w:rFonts w:ascii="Avenir-Book" w:hAnsi="Avenir-Book" w:cs="Avenir-Book"/>
          <w:sz w:val="24"/>
          <w:szCs w:val="24"/>
          <w:lang w:val="en-US"/>
        </w:rPr>
        <w:t xml:space="preserve"> </w:t>
      </w:r>
      <w:r>
        <w:rPr>
          <w:rFonts w:ascii="Avenir-Book" w:hAnsi="Avenir-Book" w:cs="Avenir-Book"/>
          <w:sz w:val="24"/>
          <w:szCs w:val="24"/>
          <w:lang w:val="en-US"/>
        </w:rPr>
        <w:t>statute, which is to say that the laws are</w:t>
      </w:r>
      <w:r>
        <w:rPr>
          <w:rFonts w:ascii="Avenir-Book" w:hAnsi="Avenir-Book" w:cs="Avenir-Book"/>
          <w:sz w:val="24"/>
          <w:szCs w:val="24"/>
          <w:lang w:val="en-US"/>
        </w:rPr>
        <w:t xml:space="preserve"> </w:t>
      </w:r>
      <w:r>
        <w:rPr>
          <w:rFonts w:ascii="Avenir-Book" w:hAnsi="Avenir-Book" w:cs="Avenir-Book"/>
          <w:sz w:val="24"/>
          <w:szCs w:val="24"/>
          <w:lang w:val="en-US"/>
        </w:rPr>
        <w:t>enacted by a legislature.</w:t>
      </w:r>
    </w:p>
    <w:p w14:paraId="591CCE22" w14:textId="47AF000D" w:rsidR="00A06E05" w:rsidRPr="00A06E05" w:rsidRDefault="00A06E05" w:rsidP="00A06E05">
      <w:pPr>
        <w:autoSpaceDE w:val="0"/>
        <w:autoSpaceDN w:val="0"/>
        <w:adjustRightInd w:val="0"/>
        <w:spacing w:line="240" w:lineRule="auto"/>
        <w:rPr>
          <w:rFonts w:ascii="Avenir-Black" w:hAnsi="Avenir-Black" w:cs="Avenir-Black"/>
          <w:b/>
          <w:bCs/>
          <w:sz w:val="24"/>
          <w:szCs w:val="24"/>
          <w:lang w:val="en-US"/>
        </w:rPr>
      </w:pPr>
      <w:r w:rsidRPr="00A06E05">
        <w:rPr>
          <w:rFonts w:ascii="Avenir-Black" w:hAnsi="Avenir-Black" w:cs="Avenir-Black"/>
          <w:b/>
          <w:bCs/>
          <w:sz w:val="24"/>
          <w:szCs w:val="24"/>
          <w:lang w:val="en-US"/>
        </w:rPr>
        <w:t>Cross-border</w:t>
      </w:r>
      <w:r w:rsidRPr="00A06E05">
        <w:rPr>
          <w:rFonts w:ascii="Avenir-Black" w:hAnsi="Avenir-Black" w:cs="Avenir-Black"/>
          <w:b/>
          <w:bCs/>
          <w:sz w:val="24"/>
          <w:szCs w:val="24"/>
          <w:lang w:val="en-US"/>
        </w:rPr>
        <w:t xml:space="preserve"> </w:t>
      </w:r>
      <w:r w:rsidRPr="00A06E05">
        <w:rPr>
          <w:rFonts w:ascii="Avenir-Black" w:hAnsi="Avenir-Black" w:cs="Avenir-Black"/>
          <w:b/>
          <w:bCs/>
          <w:sz w:val="24"/>
          <w:szCs w:val="24"/>
          <w:lang w:val="en-US"/>
        </w:rPr>
        <w:t>transfers</w:t>
      </w:r>
    </w:p>
    <w:p w14:paraId="1E51E36F" w14:textId="584AE6AE" w:rsidR="00A06E05" w:rsidRDefault="00A06E05" w:rsidP="00A06E0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lastRenderedPageBreak/>
        <w:t>Multiple laws and regulations restrict or do</w:t>
      </w:r>
      <w:r>
        <w:rPr>
          <w:rFonts w:ascii="Avenir-Book" w:hAnsi="Avenir-Book" w:cs="Avenir-Book"/>
          <w:sz w:val="24"/>
          <w:szCs w:val="24"/>
          <w:lang w:val="en-US"/>
        </w:rPr>
        <w:t xml:space="preserve"> </w:t>
      </w:r>
      <w:r>
        <w:rPr>
          <w:rFonts w:ascii="Avenir-Book" w:hAnsi="Avenir-Book" w:cs="Avenir-Book"/>
          <w:sz w:val="24"/>
          <w:szCs w:val="24"/>
          <w:lang w:val="en-US"/>
        </w:rPr>
        <w:t>not allow for information to be transferred</w:t>
      </w:r>
      <w:r>
        <w:rPr>
          <w:rFonts w:ascii="Avenir-Book" w:hAnsi="Avenir-Book" w:cs="Avenir-Book"/>
          <w:sz w:val="24"/>
          <w:szCs w:val="24"/>
          <w:lang w:val="en-US"/>
        </w:rPr>
        <w:t xml:space="preserve"> </w:t>
      </w:r>
      <w:r>
        <w:rPr>
          <w:rFonts w:ascii="Avenir-Book" w:hAnsi="Avenir-Book" w:cs="Avenir-Book"/>
          <w:sz w:val="24"/>
          <w:szCs w:val="24"/>
          <w:lang w:val="en-US"/>
        </w:rPr>
        <w:t>across borders or to locations where the</w:t>
      </w:r>
      <w:r>
        <w:rPr>
          <w:rFonts w:ascii="Avenir-Book" w:hAnsi="Avenir-Book" w:cs="Avenir-Book"/>
          <w:sz w:val="24"/>
          <w:szCs w:val="24"/>
          <w:lang w:val="en-US"/>
        </w:rPr>
        <w:t xml:space="preserve"> </w:t>
      </w:r>
      <w:r>
        <w:rPr>
          <w:rFonts w:ascii="Avenir-Book" w:hAnsi="Avenir-Book" w:cs="Avenir-Book"/>
          <w:sz w:val="24"/>
          <w:szCs w:val="24"/>
          <w:lang w:val="en-US"/>
        </w:rPr>
        <w:t>level of privacy or data protection is</w:t>
      </w:r>
      <w:r>
        <w:rPr>
          <w:rFonts w:ascii="Avenir-Book" w:hAnsi="Avenir-Book" w:cs="Avenir-Book"/>
          <w:sz w:val="24"/>
          <w:szCs w:val="24"/>
          <w:lang w:val="en-US"/>
        </w:rPr>
        <w:t xml:space="preserve"> </w:t>
      </w:r>
      <w:r>
        <w:rPr>
          <w:rFonts w:ascii="Avenir-Book" w:hAnsi="Avenir-Book" w:cs="Avenir-Book"/>
          <w:sz w:val="24"/>
          <w:szCs w:val="24"/>
          <w:lang w:val="en-US"/>
        </w:rPr>
        <w:t>deemed to be weaker than their</w:t>
      </w:r>
      <w:r>
        <w:rPr>
          <w:rFonts w:ascii="Avenir-Book" w:hAnsi="Avenir-Book" w:cs="Avenir-Book"/>
          <w:sz w:val="24"/>
          <w:szCs w:val="24"/>
          <w:lang w:val="en-US"/>
        </w:rPr>
        <w:t xml:space="preserve"> </w:t>
      </w:r>
      <w:r>
        <w:rPr>
          <w:rFonts w:ascii="Avenir-Book" w:hAnsi="Avenir-Book" w:cs="Avenir-Book"/>
          <w:sz w:val="24"/>
          <w:szCs w:val="24"/>
          <w:lang w:val="en-US"/>
        </w:rPr>
        <w:t>current requirements.</w:t>
      </w:r>
    </w:p>
    <w:p w14:paraId="788CA838" w14:textId="6182368E" w:rsidR="00EC3654" w:rsidRPr="00EC3654" w:rsidRDefault="00EC3654" w:rsidP="00EC3654">
      <w:pPr>
        <w:autoSpaceDE w:val="0"/>
        <w:autoSpaceDN w:val="0"/>
        <w:adjustRightInd w:val="0"/>
        <w:spacing w:line="240" w:lineRule="auto"/>
        <w:rPr>
          <w:rFonts w:ascii="Avenir-Black" w:hAnsi="Avenir-Black" w:cs="Avenir-Black"/>
          <w:b/>
          <w:bCs/>
          <w:sz w:val="24"/>
          <w:szCs w:val="24"/>
          <w:lang w:val="en-US"/>
        </w:rPr>
      </w:pPr>
      <w:r w:rsidRPr="00EC3654">
        <w:rPr>
          <w:rFonts w:ascii="Avenir-Black" w:hAnsi="Avenir-Black" w:cs="Avenir-Black"/>
          <w:b/>
          <w:bCs/>
          <w:sz w:val="24"/>
          <w:szCs w:val="24"/>
          <w:lang w:val="en-US"/>
        </w:rPr>
        <w:t>CSA Security,</w:t>
      </w:r>
      <w:r>
        <w:rPr>
          <w:rFonts w:ascii="Avenir-Black" w:hAnsi="Avenir-Black" w:cs="Avenir-Black"/>
          <w:b/>
          <w:bCs/>
          <w:sz w:val="24"/>
          <w:szCs w:val="24"/>
          <w:lang w:val="en-US"/>
        </w:rPr>
        <w:t xml:space="preserve"> </w:t>
      </w:r>
      <w:r w:rsidRPr="00EC3654">
        <w:rPr>
          <w:rFonts w:ascii="Avenir-Black" w:hAnsi="Avenir-Black" w:cs="Avenir-Black"/>
          <w:b/>
          <w:bCs/>
          <w:sz w:val="24"/>
          <w:szCs w:val="24"/>
          <w:lang w:val="en-US"/>
        </w:rPr>
        <w:t>Trust Assurance</w:t>
      </w:r>
      <w:r>
        <w:rPr>
          <w:rFonts w:ascii="Avenir-Black" w:hAnsi="Avenir-Black" w:cs="Avenir-Black"/>
          <w:b/>
          <w:bCs/>
          <w:sz w:val="24"/>
          <w:szCs w:val="24"/>
          <w:lang w:val="en-US"/>
        </w:rPr>
        <w:t xml:space="preserve"> </w:t>
      </w:r>
      <w:r w:rsidRPr="00EC3654">
        <w:rPr>
          <w:rFonts w:ascii="Avenir-Black" w:hAnsi="Avenir-Black" w:cs="Avenir-Black"/>
          <w:b/>
          <w:bCs/>
          <w:sz w:val="24"/>
          <w:szCs w:val="24"/>
          <w:lang w:val="en-US"/>
        </w:rPr>
        <w:t>and Risk (STAR)</w:t>
      </w:r>
      <w:r>
        <w:rPr>
          <w:rFonts w:ascii="Avenir-Black" w:hAnsi="Avenir-Black" w:cs="Avenir-Black"/>
          <w:b/>
          <w:bCs/>
          <w:sz w:val="24"/>
          <w:szCs w:val="24"/>
          <w:lang w:val="en-US"/>
        </w:rPr>
        <w:t xml:space="preserve"> </w:t>
      </w:r>
      <w:r w:rsidRPr="00EC3654">
        <w:rPr>
          <w:rFonts w:ascii="Avenir-Black" w:hAnsi="Avenir-Black" w:cs="Avenir-Black"/>
          <w:b/>
          <w:bCs/>
          <w:sz w:val="24"/>
          <w:szCs w:val="24"/>
          <w:lang w:val="en-US"/>
        </w:rPr>
        <w:t>Registry</w:t>
      </w:r>
    </w:p>
    <w:p w14:paraId="54883B58" w14:textId="0F9EF769"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provider will have assessments and</w:t>
      </w:r>
      <w:r>
        <w:rPr>
          <w:rFonts w:ascii="Avenir-Book" w:hAnsi="Avenir-Book" w:cs="Avenir-Book"/>
          <w:sz w:val="24"/>
          <w:szCs w:val="24"/>
          <w:lang w:val="en-US"/>
        </w:rPr>
        <w:t xml:space="preserve"> </w:t>
      </w:r>
      <w:r>
        <w:rPr>
          <w:rFonts w:ascii="Avenir-Book" w:hAnsi="Avenir-Book" w:cs="Avenir-Book"/>
          <w:sz w:val="24"/>
          <w:szCs w:val="24"/>
          <w:lang w:val="en-US"/>
        </w:rPr>
        <w:t>certifications that provide differing levels</w:t>
      </w:r>
      <w:r>
        <w:rPr>
          <w:rFonts w:ascii="Avenir-Book" w:hAnsi="Avenir-Book" w:cs="Avenir-Book"/>
          <w:sz w:val="24"/>
          <w:szCs w:val="24"/>
          <w:lang w:val="en-US"/>
        </w:rPr>
        <w:t xml:space="preserve"> </w:t>
      </w:r>
      <w:r>
        <w:rPr>
          <w:rFonts w:ascii="Avenir-Book" w:hAnsi="Avenir-Book" w:cs="Avenir-Book"/>
          <w:sz w:val="24"/>
          <w:szCs w:val="24"/>
          <w:lang w:val="en-US"/>
        </w:rPr>
        <w:t>of assurance about the cloud controls they</w:t>
      </w:r>
      <w:r>
        <w:rPr>
          <w:rFonts w:ascii="Avenir-Book" w:hAnsi="Avenir-Book" w:cs="Avenir-Book"/>
          <w:sz w:val="24"/>
          <w:szCs w:val="24"/>
          <w:lang w:val="en-US"/>
        </w:rPr>
        <w:t xml:space="preserve"> </w:t>
      </w:r>
      <w:r>
        <w:rPr>
          <w:rFonts w:ascii="Avenir-Book" w:hAnsi="Avenir-Book" w:cs="Avenir-Book"/>
          <w:sz w:val="24"/>
          <w:szCs w:val="24"/>
          <w:lang w:val="en-US"/>
        </w:rPr>
        <w:t>maintain. For instance, some providers</w:t>
      </w:r>
      <w:r>
        <w:rPr>
          <w:rFonts w:ascii="Avenir-Book" w:hAnsi="Avenir-Book" w:cs="Avenir-Book"/>
          <w:sz w:val="24"/>
          <w:szCs w:val="24"/>
          <w:lang w:val="en-US"/>
        </w:rPr>
        <w:t xml:space="preserve"> </w:t>
      </w:r>
      <w:r>
        <w:rPr>
          <w:rFonts w:ascii="Avenir-Book" w:hAnsi="Avenir-Book" w:cs="Avenir-Book"/>
          <w:sz w:val="24"/>
          <w:szCs w:val="24"/>
          <w:lang w:val="en-US"/>
        </w:rPr>
        <w:t>have only completed a self-assessment,</w:t>
      </w:r>
      <w:r>
        <w:rPr>
          <w:rFonts w:ascii="Avenir-Book" w:hAnsi="Avenir-Book" w:cs="Avenir-Book"/>
          <w:sz w:val="24"/>
          <w:szCs w:val="24"/>
          <w:lang w:val="en-US"/>
        </w:rPr>
        <w:t xml:space="preserve"> </w:t>
      </w:r>
      <w:r>
        <w:rPr>
          <w:rFonts w:ascii="Avenir-Book" w:hAnsi="Avenir-Book" w:cs="Avenir-Book"/>
          <w:sz w:val="24"/>
          <w:szCs w:val="24"/>
          <w:lang w:val="en-US"/>
        </w:rPr>
        <w:t>while others have completed a third-party</w:t>
      </w:r>
      <w:r>
        <w:rPr>
          <w:rFonts w:ascii="Avenir-Book" w:hAnsi="Avenir-Book" w:cs="Avenir-Book"/>
          <w:sz w:val="24"/>
          <w:szCs w:val="24"/>
          <w:lang w:val="en-US"/>
        </w:rPr>
        <w:t xml:space="preserve"> </w:t>
      </w:r>
      <w:r>
        <w:rPr>
          <w:rFonts w:ascii="Avenir-Book" w:hAnsi="Avenir-Book" w:cs="Avenir-Book"/>
          <w:sz w:val="24"/>
          <w:szCs w:val="24"/>
          <w:lang w:val="en-US"/>
        </w:rPr>
        <w:t>certification based upon</w:t>
      </w:r>
      <w:r>
        <w:rPr>
          <w:rFonts w:ascii="Avenir-Book" w:hAnsi="Avenir-Book" w:cs="Avenir-Book"/>
          <w:sz w:val="24"/>
          <w:szCs w:val="24"/>
          <w:lang w:val="en-US"/>
        </w:rPr>
        <w:t xml:space="preserve"> </w:t>
      </w:r>
      <w:r>
        <w:rPr>
          <w:rFonts w:ascii="Avenir-Book" w:hAnsi="Avenir-Book" w:cs="Avenir-Book"/>
          <w:sz w:val="24"/>
          <w:szCs w:val="24"/>
          <w:lang w:val="en-US"/>
        </w:rPr>
        <w:t>Information</w:t>
      </w:r>
    </w:p>
    <w:p w14:paraId="09597CB5" w14:textId="60863A47" w:rsidR="00EC3654" w:rsidRDefault="00EC3654" w:rsidP="00EC3654">
      <w:pPr>
        <w:autoSpaceDE w:val="0"/>
        <w:autoSpaceDN w:val="0"/>
        <w:adjustRightInd w:val="0"/>
        <w:spacing w:line="240" w:lineRule="auto"/>
        <w:rPr>
          <w:rFonts w:ascii="Avenir-Book" w:hAnsi="Avenir-Book" w:cs="Avenir-Book"/>
          <w:sz w:val="24"/>
          <w:szCs w:val="24"/>
          <w:lang w:val="en-US"/>
        </w:rPr>
      </w:pPr>
      <w:r w:rsidRPr="00EC3654">
        <w:rPr>
          <w:rFonts w:ascii="Avenir-Book" w:hAnsi="Avenir-Book" w:cs="Avenir-Book"/>
          <w:b/>
          <w:bCs/>
          <w:sz w:val="24"/>
          <w:szCs w:val="24"/>
          <w:lang w:val="en-US"/>
        </w:rPr>
        <w:t>Security Management System ISO 27001</w:t>
      </w:r>
    </w:p>
    <w:p w14:paraId="0406F7E3" w14:textId="701A420D"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Still other organizations have completed a</w:t>
      </w:r>
      <w:r>
        <w:rPr>
          <w:rFonts w:ascii="Avenir-Book" w:hAnsi="Avenir-Book" w:cs="Avenir-Book"/>
          <w:sz w:val="24"/>
          <w:szCs w:val="24"/>
          <w:lang w:val="en-US"/>
        </w:rPr>
        <w:t xml:space="preserve"> </w:t>
      </w:r>
      <w:r>
        <w:rPr>
          <w:rFonts w:ascii="Avenir-Book" w:hAnsi="Avenir-Book" w:cs="Avenir-Book"/>
          <w:sz w:val="24"/>
          <w:szCs w:val="24"/>
          <w:lang w:val="en-US"/>
        </w:rPr>
        <w:t>third-party attestation of their cloud</w:t>
      </w:r>
      <w:r>
        <w:rPr>
          <w:rFonts w:ascii="Avenir-Book" w:hAnsi="Avenir-Book" w:cs="Avenir-Book"/>
          <w:sz w:val="24"/>
          <w:szCs w:val="24"/>
          <w:lang w:val="en-US"/>
        </w:rPr>
        <w:t xml:space="preserve"> </w:t>
      </w:r>
      <w:r>
        <w:rPr>
          <w:rFonts w:ascii="Avenir-Book" w:hAnsi="Avenir-Book" w:cs="Avenir-Book"/>
          <w:sz w:val="24"/>
          <w:szCs w:val="24"/>
          <w:lang w:val="en-US"/>
        </w:rPr>
        <w:t>controls based upon Service Organization’s</w:t>
      </w:r>
      <w:r>
        <w:rPr>
          <w:rFonts w:ascii="Avenir-Book" w:hAnsi="Avenir-Book" w:cs="Avenir-Book"/>
          <w:sz w:val="24"/>
          <w:szCs w:val="24"/>
          <w:lang w:val="en-US"/>
        </w:rPr>
        <w:t xml:space="preserve"> </w:t>
      </w:r>
      <w:r>
        <w:rPr>
          <w:rFonts w:ascii="Avenir-Book" w:hAnsi="Avenir-Book" w:cs="Avenir-Book"/>
          <w:sz w:val="24"/>
          <w:szCs w:val="24"/>
          <w:lang w:val="en-US"/>
        </w:rPr>
        <w:t>System in a SOC 2 Report.</w:t>
      </w:r>
    </w:p>
    <w:p w14:paraId="4C80563E" w14:textId="77777777" w:rsidR="00EC3654" w:rsidRDefault="00EC3654" w:rsidP="00EC3654">
      <w:pPr>
        <w:autoSpaceDE w:val="0"/>
        <w:autoSpaceDN w:val="0"/>
        <w:adjustRightInd w:val="0"/>
        <w:spacing w:line="240" w:lineRule="auto"/>
        <w:rPr>
          <w:rFonts w:ascii="Avenir-Book" w:hAnsi="Avenir-Book" w:cs="Avenir-Book"/>
          <w:sz w:val="24"/>
          <w:szCs w:val="24"/>
          <w:lang w:val="en-US"/>
        </w:rPr>
      </w:pPr>
      <w:r w:rsidRPr="00EC3654">
        <w:rPr>
          <w:rFonts w:ascii="Avenir-Black" w:hAnsi="Avenir-Black" w:cs="Avenir-Black"/>
          <w:b/>
          <w:bCs/>
          <w:sz w:val="24"/>
          <w:szCs w:val="24"/>
          <w:lang w:val="en-US"/>
        </w:rPr>
        <w:t>Data sovereignty</w:t>
      </w:r>
      <w:r>
        <w:rPr>
          <w:rFonts w:ascii="Avenir-Black" w:hAnsi="Avenir-Black" w:cs="Avenir-Black"/>
          <w:sz w:val="24"/>
          <w:szCs w:val="24"/>
          <w:lang w:val="en-US"/>
        </w:rPr>
        <w:t xml:space="preserve"> </w:t>
      </w:r>
    </w:p>
    <w:p w14:paraId="51141418" w14:textId="3B20D8D2"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Implied or explicit right to decide what</w:t>
      </w:r>
      <w:r>
        <w:rPr>
          <w:rFonts w:ascii="Avenir-Book" w:hAnsi="Avenir-Book" w:cs="Avenir-Book"/>
          <w:sz w:val="24"/>
          <w:szCs w:val="24"/>
          <w:lang w:val="en-US"/>
        </w:rPr>
        <w:t xml:space="preserve"> </w:t>
      </w:r>
      <w:r>
        <w:rPr>
          <w:rFonts w:ascii="Avenir-Book" w:hAnsi="Avenir-Book" w:cs="Avenir-Book"/>
          <w:sz w:val="24"/>
          <w:szCs w:val="24"/>
          <w:lang w:val="en-US"/>
        </w:rPr>
        <w:t>treatment, care, or disposition (embargo or</w:t>
      </w:r>
      <w:r>
        <w:rPr>
          <w:rFonts w:ascii="Avenir-Book" w:hAnsi="Avenir-Book" w:cs="Avenir-Book"/>
          <w:sz w:val="24"/>
          <w:szCs w:val="24"/>
          <w:lang w:val="en-US"/>
        </w:rPr>
        <w:t xml:space="preserve"> </w:t>
      </w:r>
      <w:r>
        <w:rPr>
          <w:rFonts w:ascii="Avenir-Book" w:hAnsi="Avenir-Book" w:cs="Avenir-Book"/>
          <w:sz w:val="24"/>
          <w:szCs w:val="24"/>
          <w:lang w:val="en-US"/>
        </w:rPr>
        <w:t>movement) a nation or state can determine</w:t>
      </w:r>
      <w:r>
        <w:rPr>
          <w:rFonts w:ascii="Avenir-Book" w:hAnsi="Avenir-Book" w:cs="Avenir-Book"/>
          <w:sz w:val="24"/>
          <w:szCs w:val="24"/>
          <w:lang w:val="en-US"/>
        </w:rPr>
        <w:t xml:space="preserve"> </w:t>
      </w:r>
      <w:r>
        <w:rPr>
          <w:rFonts w:ascii="Avenir-Book" w:hAnsi="Avenir-Book" w:cs="Avenir-Book"/>
          <w:sz w:val="24"/>
          <w:szCs w:val="24"/>
          <w:lang w:val="en-US"/>
        </w:rPr>
        <w:t>on data by means of its laws.</w:t>
      </w:r>
    </w:p>
    <w:p w14:paraId="4A58690F" w14:textId="6093BCF0" w:rsidR="00EC3654" w:rsidRPr="00EC3654" w:rsidRDefault="00EC3654" w:rsidP="00EC3654">
      <w:pPr>
        <w:autoSpaceDE w:val="0"/>
        <w:autoSpaceDN w:val="0"/>
        <w:adjustRightInd w:val="0"/>
        <w:spacing w:line="240" w:lineRule="auto"/>
        <w:rPr>
          <w:rFonts w:ascii="Avenir-Black" w:hAnsi="Avenir-Black" w:cs="Avenir-Black"/>
          <w:b/>
          <w:bCs/>
          <w:sz w:val="24"/>
          <w:szCs w:val="24"/>
          <w:lang w:val="en-US"/>
        </w:rPr>
      </w:pPr>
      <w:r w:rsidRPr="00EC3654">
        <w:rPr>
          <w:rFonts w:ascii="Avenir-Black" w:hAnsi="Avenir-Black" w:cs="Avenir-Black"/>
          <w:b/>
          <w:bCs/>
          <w:sz w:val="24"/>
          <w:szCs w:val="24"/>
          <w:lang w:val="en-US"/>
        </w:rPr>
        <w:t>Doctrine of</w:t>
      </w:r>
      <w:r>
        <w:rPr>
          <w:rFonts w:ascii="Avenir-Black" w:hAnsi="Avenir-Black" w:cs="Avenir-Black"/>
          <w:b/>
          <w:bCs/>
          <w:sz w:val="24"/>
          <w:szCs w:val="24"/>
          <w:lang w:val="en-US"/>
        </w:rPr>
        <w:t xml:space="preserve"> </w:t>
      </w:r>
      <w:r w:rsidRPr="00EC3654">
        <w:rPr>
          <w:rFonts w:ascii="Avenir-Black" w:hAnsi="Avenir-Black" w:cs="Avenir-Black"/>
          <w:b/>
          <w:bCs/>
          <w:sz w:val="24"/>
          <w:szCs w:val="24"/>
          <w:lang w:val="en-US"/>
        </w:rPr>
        <w:t>plain view</w:t>
      </w:r>
    </w:p>
    <w:p w14:paraId="74559A81" w14:textId="2390BD41"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In some U.S. states, a law enforcement</w:t>
      </w:r>
      <w:r>
        <w:rPr>
          <w:rFonts w:ascii="Avenir-Book" w:hAnsi="Avenir-Book" w:cs="Avenir-Book"/>
          <w:sz w:val="24"/>
          <w:szCs w:val="24"/>
          <w:lang w:val="en-US"/>
        </w:rPr>
        <w:t xml:space="preserve"> </w:t>
      </w:r>
      <w:r>
        <w:rPr>
          <w:rFonts w:ascii="Avenir-Book" w:hAnsi="Avenir-Book" w:cs="Avenir-Book"/>
          <w:sz w:val="24"/>
          <w:szCs w:val="24"/>
          <w:lang w:val="en-US"/>
        </w:rPr>
        <w:t>officer may seize evidence without a search</w:t>
      </w:r>
      <w:r>
        <w:rPr>
          <w:rFonts w:ascii="Avenir-Book" w:hAnsi="Avenir-Book" w:cs="Avenir-Book"/>
          <w:sz w:val="24"/>
          <w:szCs w:val="24"/>
          <w:lang w:val="en-US"/>
        </w:rPr>
        <w:t xml:space="preserve"> </w:t>
      </w:r>
      <w:r>
        <w:rPr>
          <w:rFonts w:ascii="Avenir-Book" w:hAnsi="Avenir-Book" w:cs="Avenir-Book"/>
          <w:sz w:val="24"/>
          <w:szCs w:val="24"/>
          <w:lang w:val="en-US"/>
        </w:rPr>
        <w:t>warrant if they can see it without making</w:t>
      </w:r>
      <w:r>
        <w:rPr>
          <w:rFonts w:ascii="Avenir-Book" w:hAnsi="Avenir-Book" w:cs="Avenir-Book"/>
          <w:sz w:val="24"/>
          <w:szCs w:val="24"/>
          <w:lang w:val="en-US"/>
        </w:rPr>
        <w:t xml:space="preserve"> </w:t>
      </w:r>
      <w:r>
        <w:rPr>
          <w:rFonts w:ascii="Avenir-Book" w:hAnsi="Avenir-Book" w:cs="Avenir-Book"/>
          <w:sz w:val="24"/>
          <w:szCs w:val="24"/>
          <w:lang w:val="en-US"/>
        </w:rPr>
        <w:t>entry to where the evidence resides. This</w:t>
      </w:r>
      <w:r>
        <w:rPr>
          <w:rFonts w:ascii="Avenir-Book" w:hAnsi="Avenir-Book" w:cs="Avenir-Book"/>
          <w:sz w:val="24"/>
          <w:szCs w:val="24"/>
          <w:lang w:val="en-US"/>
        </w:rPr>
        <w:t xml:space="preserve"> </w:t>
      </w:r>
      <w:r>
        <w:rPr>
          <w:rFonts w:ascii="Avenir-Book" w:hAnsi="Avenir-Book" w:cs="Avenir-Book"/>
          <w:sz w:val="24"/>
          <w:szCs w:val="24"/>
          <w:lang w:val="en-US"/>
        </w:rPr>
        <w:t>applies in digital forensic searches because</w:t>
      </w:r>
      <w:r>
        <w:rPr>
          <w:rFonts w:ascii="Avenir-Book" w:hAnsi="Avenir-Book" w:cs="Avenir-Book"/>
          <w:sz w:val="24"/>
          <w:szCs w:val="24"/>
          <w:lang w:val="en-US"/>
        </w:rPr>
        <w:t xml:space="preserve"> </w:t>
      </w:r>
      <w:r>
        <w:rPr>
          <w:rFonts w:ascii="Avenir-Book" w:hAnsi="Avenir-Book" w:cs="Avenir-Book"/>
          <w:sz w:val="24"/>
          <w:szCs w:val="24"/>
          <w:lang w:val="en-US"/>
        </w:rPr>
        <w:t>it is necessary to perform various kinds of</w:t>
      </w:r>
      <w:r>
        <w:rPr>
          <w:rFonts w:ascii="Avenir-Book" w:hAnsi="Avenir-Book" w:cs="Avenir-Book"/>
          <w:sz w:val="24"/>
          <w:szCs w:val="24"/>
          <w:lang w:val="en-US"/>
        </w:rPr>
        <w:t xml:space="preserve"> </w:t>
      </w:r>
      <w:r>
        <w:rPr>
          <w:rFonts w:ascii="Avenir-Book" w:hAnsi="Avenir-Book" w:cs="Avenir-Book"/>
          <w:sz w:val="24"/>
          <w:szCs w:val="24"/>
          <w:lang w:val="en-US"/>
        </w:rPr>
        <w:t>searches on digital evidence that may</w:t>
      </w:r>
      <w:r>
        <w:rPr>
          <w:rFonts w:ascii="Avenir-Book" w:hAnsi="Avenir-Book" w:cs="Avenir-Book"/>
          <w:sz w:val="24"/>
          <w:szCs w:val="24"/>
          <w:lang w:val="en-US"/>
        </w:rPr>
        <w:t xml:space="preserve"> </w:t>
      </w:r>
      <w:r>
        <w:rPr>
          <w:rFonts w:ascii="Avenir-Book" w:hAnsi="Avenir-Book" w:cs="Avenir-Book"/>
          <w:sz w:val="24"/>
          <w:szCs w:val="24"/>
          <w:lang w:val="en-US"/>
        </w:rPr>
        <w:t>reveal evidence of a crime not noted in</w:t>
      </w:r>
      <w:r>
        <w:rPr>
          <w:rFonts w:ascii="Avenir-Book" w:hAnsi="Avenir-Book" w:cs="Avenir-Book"/>
          <w:sz w:val="24"/>
          <w:szCs w:val="24"/>
          <w:lang w:val="en-US"/>
        </w:rPr>
        <w:t xml:space="preserve"> </w:t>
      </w:r>
      <w:r>
        <w:rPr>
          <w:rFonts w:ascii="Avenir-Book" w:hAnsi="Avenir-Book" w:cs="Avenir-Book"/>
          <w:sz w:val="24"/>
          <w:szCs w:val="24"/>
          <w:lang w:val="en-US"/>
        </w:rPr>
        <w:t>the warrant.</w:t>
      </w:r>
    </w:p>
    <w:p w14:paraId="16B6E1A7" w14:textId="77777777" w:rsidR="00EC3654" w:rsidRDefault="00EC3654" w:rsidP="00EC3654">
      <w:pPr>
        <w:autoSpaceDE w:val="0"/>
        <w:autoSpaceDN w:val="0"/>
        <w:adjustRightInd w:val="0"/>
        <w:spacing w:line="240" w:lineRule="auto"/>
        <w:rPr>
          <w:rFonts w:ascii="Avenir-Book" w:hAnsi="Avenir-Book" w:cs="Avenir-Book"/>
          <w:sz w:val="24"/>
          <w:szCs w:val="24"/>
          <w:lang w:val="en-US"/>
        </w:rPr>
      </w:pPr>
      <w:r w:rsidRPr="00EC3654">
        <w:rPr>
          <w:rFonts w:ascii="Avenir-Black" w:hAnsi="Avenir-Black" w:cs="Avenir-Black"/>
          <w:b/>
          <w:bCs/>
          <w:sz w:val="24"/>
          <w:szCs w:val="24"/>
          <w:lang w:val="en-US"/>
        </w:rPr>
        <w:t xml:space="preserve">Due care </w:t>
      </w:r>
    </w:p>
    <w:p w14:paraId="31078F42" w14:textId="3B1CC452"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“Due care” is a standard of behavior</w:t>
      </w:r>
      <w:r>
        <w:rPr>
          <w:rFonts w:ascii="Avenir-Book" w:hAnsi="Avenir-Book" w:cs="Avenir-Book"/>
          <w:sz w:val="24"/>
          <w:szCs w:val="24"/>
          <w:lang w:val="en-US"/>
        </w:rPr>
        <w:t xml:space="preserve"> </w:t>
      </w:r>
      <w:r>
        <w:rPr>
          <w:rFonts w:ascii="Avenir-Book" w:hAnsi="Avenir-Book" w:cs="Avenir-Book"/>
          <w:sz w:val="24"/>
          <w:szCs w:val="24"/>
          <w:lang w:val="en-US"/>
        </w:rPr>
        <w:t>grounded in the concept of</w:t>
      </w:r>
      <w:r>
        <w:rPr>
          <w:rFonts w:ascii="Avenir-Book" w:hAnsi="Avenir-Book" w:cs="Avenir-Book"/>
          <w:sz w:val="24"/>
          <w:szCs w:val="24"/>
          <w:lang w:val="en-US"/>
        </w:rPr>
        <w:t xml:space="preserve"> </w:t>
      </w:r>
      <w:r>
        <w:rPr>
          <w:rFonts w:ascii="Avenir-Book" w:hAnsi="Avenir-Book" w:cs="Avenir-Book"/>
          <w:sz w:val="24"/>
          <w:szCs w:val="24"/>
          <w:lang w:val="en-US"/>
        </w:rPr>
        <w:t>“reasonableness.” Did the actor exhibit a</w:t>
      </w:r>
      <w:r>
        <w:rPr>
          <w:rFonts w:ascii="Avenir-Book" w:hAnsi="Avenir-Book" w:cs="Avenir-Book"/>
          <w:sz w:val="24"/>
          <w:szCs w:val="24"/>
          <w:lang w:val="en-US"/>
        </w:rPr>
        <w:t xml:space="preserve"> </w:t>
      </w:r>
      <w:r>
        <w:rPr>
          <w:rFonts w:ascii="Avenir-Book" w:hAnsi="Avenir-Book" w:cs="Avenir-Book"/>
          <w:sz w:val="24"/>
          <w:szCs w:val="24"/>
          <w:lang w:val="en-US"/>
        </w:rPr>
        <w:t>standard of behavior that is deemed by the</w:t>
      </w:r>
      <w:r>
        <w:rPr>
          <w:rFonts w:ascii="Avenir-Book" w:hAnsi="Avenir-Book" w:cs="Avenir-Book"/>
          <w:sz w:val="24"/>
          <w:szCs w:val="24"/>
          <w:lang w:val="en-US"/>
        </w:rPr>
        <w:t xml:space="preserve"> </w:t>
      </w:r>
      <w:r>
        <w:rPr>
          <w:rFonts w:ascii="Avenir-Book" w:hAnsi="Avenir-Book" w:cs="Avenir-Book"/>
          <w:sz w:val="24"/>
          <w:szCs w:val="24"/>
          <w:lang w:val="en-US"/>
        </w:rPr>
        <w:t>law to be “reasonable,” i.e., would other</w:t>
      </w:r>
      <w:r>
        <w:rPr>
          <w:rFonts w:ascii="Avenir-Book" w:hAnsi="Avenir-Book" w:cs="Avenir-Book"/>
          <w:sz w:val="24"/>
          <w:szCs w:val="24"/>
          <w:lang w:val="en-US"/>
        </w:rPr>
        <w:t xml:space="preserve"> </w:t>
      </w:r>
      <w:r>
        <w:rPr>
          <w:rFonts w:ascii="Avenir-Book" w:hAnsi="Avenir-Book" w:cs="Avenir-Book"/>
          <w:sz w:val="24"/>
          <w:szCs w:val="24"/>
          <w:lang w:val="en-US"/>
        </w:rPr>
        <w:t>individuals in the actor’s position act in a</w:t>
      </w:r>
      <w:r>
        <w:rPr>
          <w:rFonts w:ascii="Avenir-Book" w:hAnsi="Avenir-Book" w:cs="Avenir-Book"/>
          <w:sz w:val="24"/>
          <w:szCs w:val="24"/>
          <w:lang w:val="en-US"/>
        </w:rPr>
        <w:t xml:space="preserve"> </w:t>
      </w:r>
      <w:r>
        <w:rPr>
          <w:rFonts w:ascii="Avenir-Book" w:hAnsi="Avenir-Book" w:cs="Avenir-Book"/>
          <w:sz w:val="24"/>
          <w:szCs w:val="24"/>
          <w:lang w:val="en-US"/>
        </w:rPr>
        <w:t>similar manner exhibiting an expected</w:t>
      </w:r>
      <w:r>
        <w:rPr>
          <w:rFonts w:ascii="Avenir-Book" w:hAnsi="Avenir-Book" w:cs="Avenir-Book"/>
          <w:sz w:val="24"/>
          <w:szCs w:val="24"/>
          <w:lang w:val="en-US"/>
        </w:rPr>
        <w:t xml:space="preserve"> </w:t>
      </w:r>
      <w:r>
        <w:rPr>
          <w:rFonts w:ascii="Avenir-Book" w:hAnsi="Avenir-Book" w:cs="Avenir-Book"/>
          <w:sz w:val="24"/>
          <w:szCs w:val="24"/>
          <w:lang w:val="en-US"/>
        </w:rPr>
        <w:t>standard of due care?</w:t>
      </w:r>
    </w:p>
    <w:p w14:paraId="110A69EE" w14:textId="77777777" w:rsidR="00EC3654" w:rsidRDefault="00EC3654" w:rsidP="00EC3654">
      <w:pPr>
        <w:autoSpaceDE w:val="0"/>
        <w:autoSpaceDN w:val="0"/>
        <w:adjustRightInd w:val="0"/>
        <w:spacing w:line="240" w:lineRule="auto"/>
        <w:rPr>
          <w:rFonts w:ascii="Avenir-Book" w:hAnsi="Avenir-Book" w:cs="Avenir-Book"/>
          <w:sz w:val="24"/>
          <w:szCs w:val="24"/>
          <w:lang w:val="en-US"/>
        </w:rPr>
      </w:pPr>
      <w:r w:rsidRPr="00EC3654">
        <w:rPr>
          <w:rFonts w:ascii="Avenir-Black" w:hAnsi="Avenir-Black" w:cs="Avenir-Black"/>
          <w:b/>
          <w:bCs/>
          <w:sz w:val="24"/>
          <w:szCs w:val="24"/>
          <w:lang w:val="en-US"/>
        </w:rPr>
        <w:t>Due diligence</w:t>
      </w:r>
      <w:r>
        <w:rPr>
          <w:rFonts w:ascii="Avenir-Black" w:hAnsi="Avenir-Black" w:cs="Avenir-Black"/>
          <w:sz w:val="24"/>
          <w:szCs w:val="24"/>
          <w:lang w:val="en-US"/>
        </w:rPr>
        <w:t xml:space="preserve"> </w:t>
      </w:r>
    </w:p>
    <w:p w14:paraId="6E06C513" w14:textId="5980CF8F"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“Due diligence” is not a standard, but</w:t>
      </w:r>
      <w:r>
        <w:rPr>
          <w:rFonts w:ascii="Avenir-Book" w:hAnsi="Avenir-Book" w:cs="Avenir-Book"/>
          <w:sz w:val="24"/>
          <w:szCs w:val="24"/>
          <w:lang w:val="en-US"/>
        </w:rPr>
        <w:t xml:space="preserve"> </w:t>
      </w:r>
      <w:r>
        <w:rPr>
          <w:rFonts w:ascii="Avenir-Book" w:hAnsi="Avenir-Book" w:cs="Avenir-Book"/>
          <w:sz w:val="24"/>
          <w:szCs w:val="24"/>
          <w:lang w:val="en-US"/>
        </w:rPr>
        <w:t xml:space="preserve">rather a </w:t>
      </w:r>
      <w:proofErr w:type="spellStart"/>
      <w:r>
        <w:rPr>
          <w:rFonts w:ascii="Avenir-Book" w:hAnsi="Avenir-Book" w:cs="Avenir-Book"/>
          <w:sz w:val="24"/>
          <w:szCs w:val="24"/>
          <w:lang w:val="en-US"/>
        </w:rPr>
        <w:t>mode</w:t>
      </w:r>
      <w:proofErr w:type="spellEnd"/>
      <w:r>
        <w:rPr>
          <w:rFonts w:ascii="Avenir-Book" w:hAnsi="Avenir-Book" w:cs="Avenir-Book"/>
          <w:sz w:val="24"/>
          <w:szCs w:val="24"/>
          <w:lang w:val="en-US"/>
        </w:rPr>
        <w:t xml:space="preserve"> of conduct. Did the actor</w:t>
      </w:r>
      <w:r>
        <w:rPr>
          <w:rFonts w:ascii="Avenir-Book" w:hAnsi="Avenir-Book" w:cs="Avenir-Book"/>
          <w:sz w:val="24"/>
          <w:szCs w:val="24"/>
          <w:lang w:val="en-US"/>
        </w:rPr>
        <w:t xml:space="preserve"> </w:t>
      </w:r>
      <w:r>
        <w:rPr>
          <w:rFonts w:ascii="Avenir-Book" w:hAnsi="Avenir-Book" w:cs="Avenir-Book"/>
          <w:sz w:val="24"/>
          <w:szCs w:val="24"/>
          <w:lang w:val="en-US"/>
        </w:rPr>
        <w:t>do what is appropriate, reasonable, and</w:t>
      </w:r>
      <w:r>
        <w:rPr>
          <w:rFonts w:ascii="Avenir-Book" w:hAnsi="Avenir-Book" w:cs="Avenir-Book"/>
          <w:sz w:val="24"/>
          <w:szCs w:val="24"/>
          <w:lang w:val="en-US"/>
        </w:rPr>
        <w:t xml:space="preserve"> </w:t>
      </w:r>
      <w:r>
        <w:rPr>
          <w:rFonts w:ascii="Avenir-Book" w:hAnsi="Avenir-Book" w:cs="Avenir-Book"/>
          <w:sz w:val="24"/>
          <w:szCs w:val="24"/>
          <w:lang w:val="en-US"/>
        </w:rPr>
        <w:t>expected in engaging in a certain activity?</w:t>
      </w:r>
    </w:p>
    <w:p w14:paraId="612EE483" w14:textId="107C31FC" w:rsidR="00EC3654" w:rsidRPr="00EC3654" w:rsidRDefault="00EC3654" w:rsidP="00EC3654">
      <w:pPr>
        <w:autoSpaceDE w:val="0"/>
        <w:autoSpaceDN w:val="0"/>
        <w:adjustRightInd w:val="0"/>
        <w:spacing w:line="240" w:lineRule="auto"/>
        <w:rPr>
          <w:rFonts w:ascii="Avenir-Black" w:hAnsi="Avenir-Black" w:cs="Avenir-Black"/>
          <w:b/>
          <w:bCs/>
          <w:sz w:val="24"/>
          <w:szCs w:val="24"/>
          <w:lang w:val="en-US"/>
        </w:rPr>
      </w:pPr>
      <w:r w:rsidRPr="00EC3654">
        <w:rPr>
          <w:rFonts w:ascii="Avenir-Black" w:hAnsi="Avenir-Black" w:cs="Avenir-Black"/>
          <w:b/>
          <w:bCs/>
          <w:sz w:val="24"/>
          <w:szCs w:val="24"/>
          <w:lang w:val="en-US"/>
        </w:rPr>
        <w:t>European</w:t>
      </w:r>
      <w:r w:rsidR="00042675">
        <w:rPr>
          <w:rFonts w:ascii="Avenir-Black" w:hAnsi="Avenir-Black" w:cs="Avenir-Black"/>
          <w:b/>
          <w:bCs/>
          <w:sz w:val="24"/>
          <w:szCs w:val="24"/>
          <w:lang w:val="en-US"/>
        </w:rPr>
        <w:t xml:space="preserve"> </w:t>
      </w:r>
      <w:r w:rsidRPr="00EC3654">
        <w:rPr>
          <w:rFonts w:ascii="Avenir-Black" w:hAnsi="Avenir-Black" w:cs="Avenir-Black"/>
          <w:b/>
          <w:bCs/>
          <w:sz w:val="24"/>
          <w:szCs w:val="24"/>
          <w:lang w:val="en-US"/>
        </w:rPr>
        <w:t>Economic</w:t>
      </w:r>
      <w:r w:rsidR="00042675">
        <w:rPr>
          <w:rFonts w:ascii="Avenir-Black" w:hAnsi="Avenir-Black" w:cs="Avenir-Black"/>
          <w:b/>
          <w:bCs/>
          <w:sz w:val="24"/>
          <w:szCs w:val="24"/>
          <w:lang w:val="en-US"/>
        </w:rPr>
        <w:t xml:space="preserve"> </w:t>
      </w:r>
      <w:r w:rsidRPr="00EC3654">
        <w:rPr>
          <w:rFonts w:ascii="Avenir-Black" w:hAnsi="Avenir-Black" w:cs="Avenir-Black"/>
          <w:b/>
          <w:bCs/>
          <w:sz w:val="24"/>
          <w:szCs w:val="24"/>
          <w:lang w:val="en-US"/>
        </w:rPr>
        <w:t>Area (EEA)</w:t>
      </w:r>
    </w:p>
    <w:p w14:paraId="66E83083" w14:textId="66FA95E1"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 xml:space="preserve">The EEA includes EU countries </w:t>
      </w:r>
      <w:proofErr w:type="gramStart"/>
      <w:r>
        <w:rPr>
          <w:rFonts w:ascii="Avenir-Book" w:hAnsi="Avenir-Book" w:cs="Avenir-Book"/>
          <w:sz w:val="24"/>
          <w:szCs w:val="24"/>
          <w:lang w:val="en-US"/>
        </w:rPr>
        <w:t>and also</w:t>
      </w:r>
      <w:proofErr w:type="gramEnd"/>
      <w:r w:rsidR="00042675">
        <w:rPr>
          <w:rFonts w:ascii="Avenir-Book" w:hAnsi="Avenir-Book" w:cs="Avenir-Book"/>
          <w:sz w:val="24"/>
          <w:szCs w:val="24"/>
          <w:lang w:val="en-US"/>
        </w:rPr>
        <w:t xml:space="preserve"> </w:t>
      </w:r>
      <w:r>
        <w:rPr>
          <w:rFonts w:ascii="Avenir-Book" w:hAnsi="Avenir-Book" w:cs="Avenir-Book"/>
          <w:sz w:val="24"/>
          <w:szCs w:val="24"/>
          <w:lang w:val="en-US"/>
        </w:rPr>
        <w:t>Iceland, Liechtenstein, and Norway. It allows</w:t>
      </w:r>
      <w:r w:rsidR="00042675">
        <w:rPr>
          <w:rFonts w:ascii="Avenir-Book" w:hAnsi="Avenir-Book" w:cs="Avenir-Book"/>
          <w:sz w:val="24"/>
          <w:szCs w:val="24"/>
          <w:lang w:val="en-US"/>
        </w:rPr>
        <w:t xml:space="preserve"> </w:t>
      </w:r>
      <w:r>
        <w:rPr>
          <w:rFonts w:ascii="Avenir-Book" w:hAnsi="Avenir-Book" w:cs="Avenir-Book"/>
          <w:sz w:val="24"/>
          <w:szCs w:val="24"/>
          <w:lang w:val="en-US"/>
        </w:rPr>
        <w:t>them to be part of the EU’s single market.</w:t>
      </w:r>
      <w:r w:rsidR="00042675">
        <w:rPr>
          <w:rFonts w:ascii="Avenir-Book" w:hAnsi="Avenir-Book" w:cs="Avenir-Book"/>
          <w:sz w:val="24"/>
          <w:szCs w:val="24"/>
          <w:lang w:val="en-US"/>
        </w:rPr>
        <w:t xml:space="preserve"> </w:t>
      </w:r>
      <w:r>
        <w:rPr>
          <w:rFonts w:ascii="Avenir-Book" w:hAnsi="Avenir-Book" w:cs="Avenir-Book"/>
          <w:sz w:val="24"/>
          <w:szCs w:val="24"/>
          <w:lang w:val="en-US"/>
        </w:rPr>
        <w:t>Switzerland is neither an EU nor EEA</w:t>
      </w:r>
      <w:r w:rsidR="00042675">
        <w:rPr>
          <w:rFonts w:ascii="Avenir-Book" w:hAnsi="Avenir-Book" w:cs="Avenir-Book"/>
          <w:sz w:val="24"/>
          <w:szCs w:val="24"/>
          <w:lang w:val="en-US"/>
        </w:rPr>
        <w:t xml:space="preserve"> </w:t>
      </w:r>
      <w:proofErr w:type="gramStart"/>
      <w:r>
        <w:rPr>
          <w:rFonts w:ascii="Avenir-Book" w:hAnsi="Avenir-Book" w:cs="Avenir-Book"/>
          <w:sz w:val="24"/>
          <w:szCs w:val="24"/>
          <w:lang w:val="en-US"/>
        </w:rPr>
        <w:t>member, but</w:t>
      </w:r>
      <w:proofErr w:type="gramEnd"/>
      <w:r>
        <w:rPr>
          <w:rFonts w:ascii="Avenir-Book" w:hAnsi="Avenir-Book" w:cs="Avenir-Book"/>
          <w:sz w:val="24"/>
          <w:szCs w:val="24"/>
          <w:lang w:val="en-US"/>
        </w:rPr>
        <w:t xml:space="preserve"> is part of the single market—</w:t>
      </w:r>
      <w:r w:rsidR="00042675">
        <w:rPr>
          <w:rFonts w:ascii="Avenir-Book" w:hAnsi="Avenir-Book" w:cs="Avenir-Book"/>
          <w:sz w:val="24"/>
          <w:szCs w:val="24"/>
          <w:lang w:val="en-US"/>
        </w:rPr>
        <w:t xml:space="preserve"> </w:t>
      </w:r>
      <w:r>
        <w:rPr>
          <w:rFonts w:ascii="Avenir-Book" w:hAnsi="Avenir-Book" w:cs="Avenir-Book"/>
          <w:sz w:val="24"/>
          <w:szCs w:val="24"/>
          <w:lang w:val="en-US"/>
        </w:rPr>
        <w:t>this means Swiss nationals have the same</w:t>
      </w:r>
      <w:r w:rsidR="00042675">
        <w:rPr>
          <w:rFonts w:ascii="Avenir-Book" w:hAnsi="Avenir-Book" w:cs="Avenir-Book"/>
          <w:sz w:val="24"/>
          <w:szCs w:val="24"/>
          <w:lang w:val="en-US"/>
        </w:rPr>
        <w:t xml:space="preserve"> </w:t>
      </w:r>
      <w:r>
        <w:rPr>
          <w:rFonts w:ascii="Avenir-Book" w:hAnsi="Avenir-Book" w:cs="Avenir-Book"/>
          <w:sz w:val="24"/>
          <w:szCs w:val="24"/>
          <w:lang w:val="en-US"/>
        </w:rPr>
        <w:t>rights to live and work in the UK as other</w:t>
      </w:r>
      <w:r w:rsidR="00042675">
        <w:rPr>
          <w:rFonts w:ascii="Avenir-Book" w:hAnsi="Avenir-Book" w:cs="Avenir-Book"/>
          <w:sz w:val="24"/>
          <w:szCs w:val="24"/>
          <w:lang w:val="en-US"/>
        </w:rPr>
        <w:t xml:space="preserve"> </w:t>
      </w:r>
      <w:r>
        <w:rPr>
          <w:rFonts w:ascii="Avenir-Book" w:hAnsi="Avenir-Book" w:cs="Avenir-Book"/>
          <w:sz w:val="24"/>
          <w:szCs w:val="24"/>
          <w:lang w:val="en-US"/>
        </w:rPr>
        <w:t>EEA nationals.</w:t>
      </w:r>
    </w:p>
    <w:p w14:paraId="5017AA90" w14:textId="6D674600" w:rsidR="00EC3654" w:rsidRPr="00042675" w:rsidRDefault="00EC3654" w:rsidP="00EC3654">
      <w:pPr>
        <w:autoSpaceDE w:val="0"/>
        <w:autoSpaceDN w:val="0"/>
        <w:adjustRightInd w:val="0"/>
        <w:spacing w:line="240" w:lineRule="auto"/>
        <w:rPr>
          <w:rFonts w:ascii="Avenir-Black" w:hAnsi="Avenir-Black" w:cs="Avenir-Black"/>
          <w:b/>
          <w:bCs/>
          <w:sz w:val="24"/>
          <w:szCs w:val="24"/>
          <w:lang w:val="en-US"/>
        </w:rPr>
      </w:pPr>
      <w:r w:rsidRPr="00042675">
        <w:rPr>
          <w:rFonts w:ascii="Avenir-Black" w:hAnsi="Avenir-Black" w:cs="Avenir-Black"/>
          <w:b/>
          <w:bCs/>
          <w:sz w:val="24"/>
          <w:szCs w:val="24"/>
          <w:lang w:val="en-US"/>
        </w:rPr>
        <w:t>European</w:t>
      </w:r>
      <w:r w:rsid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Union (EU)</w:t>
      </w:r>
    </w:p>
    <w:p w14:paraId="54D81732" w14:textId="6B33015B"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An economic and political union of 28</w:t>
      </w:r>
      <w:r w:rsidR="00042675">
        <w:rPr>
          <w:rFonts w:ascii="Avenir-Book" w:hAnsi="Avenir-Book" w:cs="Avenir-Book"/>
          <w:sz w:val="24"/>
          <w:szCs w:val="24"/>
          <w:lang w:val="en-US"/>
        </w:rPr>
        <w:t xml:space="preserve"> </w:t>
      </w:r>
      <w:r>
        <w:rPr>
          <w:rFonts w:ascii="Avenir-Book" w:hAnsi="Avenir-Book" w:cs="Avenir-Book"/>
          <w:sz w:val="24"/>
          <w:szCs w:val="24"/>
          <w:lang w:val="en-US"/>
        </w:rPr>
        <w:t>countries. It operates an internal (or single)</w:t>
      </w:r>
      <w:r w:rsidR="00042675">
        <w:rPr>
          <w:rFonts w:ascii="Avenir-Book" w:hAnsi="Avenir-Book" w:cs="Avenir-Book"/>
          <w:sz w:val="24"/>
          <w:szCs w:val="24"/>
          <w:lang w:val="en-US"/>
        </w:rPr>
        <w:t xml:space="preserve"> </w:t>
      </w:r>
      <w:r>
        <w:rPr>
          <w:rFonts w:ascii="Avenir-Book" w:hAnsi="Avenir-Book" w:cs="Avenir-Book"/>
          <w:sz w:val="24"/>
          <w:szCs w:val="24"/>
          <w:lang w:val="en-US"/>
        </w:rPr>
        <w:t>market that allows free movement of</w:t>
      </w:r>
      <w:r w:rsidR="00042675">
        <w:rPr>
          <w:rFonts w:ascii="Avenir-Book" w:hAnsi="Avenir-Book" w:cs="Avenir-Book"/>
          <w:sz w:val="24"/>
          <w:szCs w:val="24"/>
          <w:lang w:val="en-US"/>
        </w:rPr>
        <w:t xml:space="preserve"> </w:t>
      </w:r>
      <w:r>
        <w:rPr>
          <w:rFonts w:ascii="Avenir-Book" w:hAnsi="Avenir-Book" w:cs="Avenir-Book"/>
          <w:sz w:val="24"/>
          <w:szCs w:val="24"/>
          <w:lang w:val="en-US"/>
        </w:rPr>
        <w:t xml:space="preserve">goods, capital, </w:t>
      </w:r>
      <w:proofErr w:type="gramStart"/>
      <w:r>
        <w:rPr>
          <w:rFonts w:ascii="Avenir-Book" w:hAnsi="Avenir-Book" w:cs="Avenir-Book"/>
          <w:sz w:val="24"/>
          <w:szCs w:val="24"/>
          <w:lang w:val="en-US"/>
        </w:rPr>
        <w:t>services</w:t>
      </w:r>
      <w:proofErr w:type="gramEnd"/>
      <w:r>
        <w:rPr>
          <w:rFonts w:ascii="Avenir-Book" w:hAnsi="Avenir-Book" w:cs="Avenir-Book"/>
          <w:sz w:val="24"/>
          <w:szCs w:val="24"/>
          <w:lang w:val="en-US"/>
        </w:rPr>
        <w:t xml:space="preserve"> and people</w:t>
      </w:r>
      <w:r w:rsidR="00042675">
        <w:rPr>
          <w:rFonts w:ascii="Avenir-Book" w:hAnsi="Avenir-Book" w:cs="Avenir-Book"/>
          <w:sz w:val="24"/>
          <w:szCs w:val="24"/>
          <w:lang w:val="en-US"/>
        </w:rPr>
        <w:t xml:space="preserve"> </w:t>
      </w:r>
      <w:r>
        <w:rPr>
          <w:rFonts w:ascii="Avenir-Book" w:hAnsi="Avenir-Book" w:cs="Avenir-Book"/>
          <w:sz w:val="24"/>
          <w:szCs w:val="24"/>
          <w:lang w:val="en-US"/>
        </w:rPr>
        <w:t>between member states.</w:t>
      </w:r>
    </w:p>
    <w:p w14:paraId="750A34EB" w14:textId="3B694D62"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 xml:space="preserve">As of </w:t>
      </w:r>
      <w:proofErr w:type="gramStart"/>
      <w:r>
        <w:rPr>
          <w:rFonts w:ascii="Avenir-Book" w:hAnsi="Avenir-Book" w:cs="Avenir-Book"/>
          <w:sz w:val="24"/>
          <w:szCs w:val="24"/>
          <w:lang w:val="en-US"/>
        </w:rPr>
        <w:t>March 2019</w:t>
      </w:r>
      <w:proofErr w:type="gramEnd"/>
      <w:r>
        <w:rPr>
          <w:rFonts w:ascii="Avenir-Book" w:hAnsi="Avenir-Book" w:cs="Avenir-Book"/>
          <w:sz w:val="24"/>
          <w:szCs w:val="24"/>
          <w:lang w:val="en-US"/>
        </w:rPr>
        <w:t xml:space="preserve"> these countries include:</w:t>
      </w:r>
      <w:r w:rsidR="00042675">
        <w:rPr>
          <w:rFonts w:ascii="Avenir-Book" w:hAnsi="Avenir-Book" w:cs="Avenir-Book"/>
          <w:sz w:val="24"/>
          <w:szCs w:val="24"/>
          <w:lang w:val="en-US"/>
        </w:rPr>
        <w:t xml:space="preserve"> </w:t>
      </w:r>
      <w:r>
        <w:rPr>
          <w:rFonts w:ascii="Avenir-Book" w:hAnsi="Avenir-Book" w:cs="Avenir-Book"/>
          <w:sz w:val="24"/>
          <w:szCs w:val="24"/>
          <w:lang w:val="en-US"/>
        </w:rPr>
        <w:t>Austria, Belgium, Bulgaria, Croatia, Republic</w:t>
      </w:r>
      <w:r w:rsidR="00042675">
        <w:rPr>
          <w:rFonts w:ascii="Avenir-Book" w:hAnsi="Avenir-Book" w:cs="Avenir-Book"/>
          <w:sz w:val="24"/>
          <w:szCs w:val="24"/>
          <w:lang w:val="en-US"/>
        </w:rPr>
        <w:t xml:space="preserve"> </w:t>
      </w:r>
      <w:r>
        <w:rPr>
          <w:rFonts w:ascii="Avenir-Book" w:hAnsi="Avenir-Book" w:cs="Avenir-Book"/>
          <w:sz w:val="24"/>
          <w:szCs w:val="24"/>
          <w:lang w:val="en-US"/>
        </w:rPr>
        <w:t>of Cyprus, Czech Republic, Denmark,</w:t>
      </w:r>
      <w:r w:rsidR="00042675">
        <w:rPr>
          <w:rFonts w:ascii="Avenir-Book" w:hAnsi="Avenir-Book" w:cs="Avenir-Book"/>
          <w:sz w:val="24"/>
          <w:szCs w:val="24"/>
          <w:lang w:val="en-US"/>
        </w:rPr>
        <w:t xml:space="preserve"> </w:t>
      </w:r>
      <w:r>
        <w:rPr>
          <w:rFonts w:ascii="Avenir-Book" w:hAnsi="Avenir-Book" w:cs="Avenir-Book"/>
          <w:sz w:val="24"/>
          <w:szCs w:val="24"/>
          <w:lang w:val="en-US"/>
        </w:rPr>
        <w:t>Estonia, Finland, France, Germany, Greece,</w:t>
      </w:r>
      <w:r w:rsidR="00042675">
        <w:rPr>
          <w:rFonts w:ascii="Avenir-Book" w:hAnsi="Avenir-Book" w:cs="Avenir-Book"/>
          <w:sz w:val="24"/>
          <w:szCs w:val="24"/>
          <w:lang w:val="en-US"/>
        </w:rPr>
        <w:t xml:space="preserve"> </w:t>
      </w:r>
      <w:r>
        <w:rPr>
          <w:rFonts w:ascii="Avenir-Book" w:hAnsi="Avenir-Book" w:cs="Avenir-Book"/>
          <w:sz w:val="24"/>
          <w:szCs w:val="24"/>
          <w:lang w:val="en-US"/>
        </w:rPr>
        <w:t>Hungary, Ireland, Italy, Latvia, Lithuania,</w:t>
      </w:r>
      <w:r w:rsidR="00042675">
        <w:rPr>
          <w:rFonts w:ascii="Avenir-Book" w:hAnsi="Avenir-Book" w:cs="Avenir-Book"/>
          <w:sz w:val="24"/>
          <w:szCs w:val="24"/>
          <w:lang w:val="en-US"/>
        </w:rPr>
        <w:t xml:space="preserve"> </w:t>
      </w:r>
      <w:r>
        <w:rPr>
          <w:rFonts w:ascii="Avenir-Book" w:hAnsi="Avenir-Book" w:cs="Avenir-Book"/>
          <w:sz w:val="24"/>
          <w:szCs w:val="24"/>
          <w:lang w:val="en-US"/>
        </w:rPr>
        <w:t>Luxembourg, Malta, Netherlands, Poland,</w:t>
      </w:r>
      <w:r w:rsidR="00042675">
        <w:rPr>
          <w:rFonts w:ascii="Avenir-Book" w:hAnsi="Avenir-Book" w:cs="Avenir-Book"/>
          <w:sz w:val="24"/>
          <w:szCs w:val="24"/>
          <w:lang w:val="en-US"/>
        </w:rPr>
        <w:t xml:space="preserve"> </w:t>
      </w:r>
      <w:r>
        <w:rPr>
          <w:rFonts w:ascii="Avenir-Book" w:hAnsi="Avenir-Book" w:cs="Avenir-Book"/>
          <w:sz w:val="24"/>
          <w:szCs w:val="24"/>
          <w:lang w:val="en-US"/>
        </w:rPr>
        <w:t>Portugal, Romania, Slovakia, Slovenia,</w:t>
      </w:r>
      <w:r w:rsidR="00042675">
        <w:rPr>
          <w:rFonts w:ascii="Avenir-Book" w:hAnsi="Avenir-Book" w:cs="Avenir-Book"/>
          <w:sz w:val="24"/>
          <w:szCs w:val="24"/>
          <w:lang w:val="en-US"/>
        </w:rPr>
        <w:t xml:space="preserve"> </w:t>
      </w:r>
      <w:r>
        <w:rPr>
          <w:rFonts w:ascii="Avenir-Book" w:hAnsi="Avenir-Book" w:cs="Avenir-Book"/>
          <w:sz w:val="24"/>
          <w:szCs w:val="24"/>
          <w:lang w:val="en-US"/>
        </w:rPr>
        <w:t>Spain, Sweden, and the UK.</w:t>
      </w:r>
    </w:p>
    <w:p w14:paraId="5E7717B1" w14:textId="77777777" w:rsidR="00042675" w:rsidRDefault="00EC3654" w:rsidP="00EC3654">
      <w:pPr>
        <w:autoSpaceDE w:val="0"/>
        <w:autoSpaceDN w:val="0"/>
        <w:adjustRightInd w:val="0"/>
        <w:spacing w:line="240" w:lineRule="auto"/>
        <w:rPr>
          <w:rFonts w:ascii="Avenir-Book" w:hAnsi="Avenir-Book" w:cs="Avenir-Book"/>
          <w:sz w:val="24"/>
          <w:szCs w:val="24"/>
          <w:lang w:val="en-US"/>
        </w:rPr>
      </w:pPr>
      <w:r w:rsidRPr="00042675">
        <w:rPr>
          <w:rFonts w:ascii="Avenir-Black" w:hAnsi="Avenir-Black" w:cs="Avenir-Black"/>
          <w:b/>
          <w:bCs/>
          <w:sz w:val="24"/>
          <w:szCs w:val="24"/>
          <w:lang w:val="en-US"/>
        </w:rPr>
        <w:t>E-discovery</w:t>
      </w:r>
      <w:r>
        <w:rPr>
          <w:rFonts w:ascii="Avenir-Black" w:hAnsi="Avenir-Black" w:cs="Avenir-Black"/>
          <w:sz w:val="24"/>
          <w:szCs w:val="24"/>
          <w:lang w:val="en-US"/>
        </w:rPr>
        <w:t xml:space="preserve"> </w:t>
      </w:r>
    </w:p>
    <w:p w14:paraId="2BB02189" w14:textId="13BB335D"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lastRenderedPageBreak/>
        <w:t>Electronic discovery (also called</w:t>
      </w:r>
      <w:r w:rsidR="00042675">
        <w:rPr>
          <w:rFonts w:ascii="Avenir-Book" w:hAnsi="Avenir-Book" w:cs="Avenir-Book"/>
          <w:sz w:val="24"/>
          <w:szCs w:val="24"/>
          <w:lang w:val="en-US"/>
        </w:rPr>
        <w:t xml:space="preserve"> </w:t>
      </w:r>
      <w:r>
        <w:rPr>
          <w:rFonts w:ascii="Avenir-Book" w:hAnsi="Avenir-Book" w:cs="Avenir-Book"/>
          <w:sz w:val="24"/>
          <w:szCs w:val="24"/>
          <w:lang w:val="en-US"/>
        </w:rPr>
        <w:t>e-discovery) refers to any process in which</w:t>
      </w:r>
      <w:r w:rsidR="00042675">
        <w:rPr>
          <w:rFonts w:ascii="Avenir-Book" w:hAnsi="Avenir-Book" w:cs="Avenir-Book"/>
          <w:sz w:val="24"/>
          <w:szCs w:val="24"/>
          <w:lang w:val="en-US"/>
        </w:rPr>
        <w:t xml:space="preserve"> </w:t>
      </w:r>
      <w:r>
        <w:rPr>
          <w:rFonts w:ascii="Avenir-Book" w:hAnsi="Avenir-Book" w:cs="Avenir-Book"/>
          <w:sz w:val="24"/>
          <w:szCs w:val="24"/>
          <w:lang w:val="en-US"/>
        </w:rPr>
        <w:t>electronic data is sought, located, secured,</w:t>
      </w:r>
      <w:r w:rsidR="00042675">
        <w:rPr>
          <w:rFonts w:ascii="Avenir-Book" w:hAnsi="Avenir-Book" w:cs="Avenir-Book"/>
          <w:sz w:val="24"/>
          <w:szCs w:val="24"/>
          <w:lang w:val="en-US"/>
        </w:rPr>
        <w:t xml:space="preserve"> </w:t>
      </w:r>
      <w:r>
        <w:rPr>
          <w:rFonts w:ascii="Avenir-Book" w:hAnsi="Avenir-Book" w:cs="Avenir-Book"/>
          <w:sz w:val="24"/>
          <w:szCs w:val="24"/>
          <w:lang w:val="en-US"/>
        </w:rPr>
        <w:t>and searched with the intent of using it as</w:t>
      </w:r>
      <w:r w:rsidR="00042675">
        <w:rPr>
          <w:rFonts w:ascii="Avenir-Book" w:hAnsi="Avenir-Book" w:cs="Avenir-Book"/>
          <w:sz w:val="24"/>
          <w:szCs w:val="24"/>
          <w:lang w:val="en-US"/>
        </w:rPr>
        <w:t xml:space="preserve"> </w:t>
      </w:r>
      <w:r>
        <w:rPr>
          <w:rFonts w:ascii="Avenir-Book" w:hAnsi="Avenir-Book" w:cs="Avenir-Book"/>
          <w:sz w:val="24"/>
          <w:szCs w:val="24"/>
          <w:lang w:val="en-US"/>
        </w:rPr>
        <w:t>evidence in a civil or criminal legal case.</w:t>
      </w:r>
    </w:p>
    <w:p w14:paraId="5C068596" w14:textId="338DB1AA" w:rsidR="00EC3654" w:rsidRPr="00042675" w:rsidRDefault="00EC3654" w:rsidP="00EC3654">
      <w:pPr>
        <w:autoSpaceDE w:val="0"/>
        <w:autoSpaceDN w:val="0"/>
        <w:adjustRightInd w:val="0"/>
        <w:spacing w:line="240" w:lineRule="auto"/>
        <w:rPr>
          <w:rFonts w:ascii="Avenir-Black" w:hAnsi="Avenir-Black" w:cs="Avenir-Black"/>
          <w:b/>
          <w:bCs/>
          <w:sz w:val="24"/>
          <w:szCs w:val="24"/>
          <w:lang w:val="en-US"/>
        </w:rPr>
      </w:pPr>
      <w:r w:rsidRPr="00042675">
        <w:rPr>
          <w:rFonts w:ascii="Avenir-Black" w:hAnsi="Avenir-Black" w:cs="Avenir-Black"/>
          <w:b/>
          <w:bCs/>
          <w:sz w:val="24"/>
          <w:szCs w:val="24"/>
          <w:lang w:val="en-US"/>
        </w:rPr>
        <w:t>EU Data</w:t>
      </w:r>
      <w:r w:rsid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Protection</w:t>
      </w:r>
      <w:r w:rsid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Directive</w:t>
      </w:r>
      <w:r w:rsid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95/46 EC</w:t>
      </w:r>
    </w:p>
    <w:p w14:paraId="095E0C9F" w14:textId="71E9E732"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Directive 95/46 EC focuses on the</w:t>
      </w:r>
      <w:r w:rsidR="00042675">
        <w:rPr>
          <w:rFonts w:ascii="Avenir-Book" w:hAnsi="Avenir-Book" w:cs="Avenir-Book"/>
          <w:sz w:val="24"/>
          <w:szCs w:val="24"/>
          <w:lang w:val="en-US"/>
        </w:rPr>
        <w:t xml:space="preserve"> </w:t>
      </w:r>
      <w:r>
        <w:rPr>
          <w:rFonts w:ascii="Avenir-Book" w:hAnsi="Avenir-Book" w:cs="Avenir-Book"/>
          <w:sz w:val="24"/>
          <w:szCs w:val="24"/>
          <w:lang w:val="en-US"/>
        </w:rPr>
        <w:t>protection of individuals regarding the</w:t>
      </w:r>
      <w:r w:rsidR="00042675">
        <w:rPr>
          <w:rFonts w:ascii="Avenir-Book" w:hAnsi="Avenir-Book" w:cs="Avenir-Book"/>
          <w:sz w:val="24"/>
          <w:szCs w:val="24"/>
          <w:lang w:val="en-US"/>
        </w:rPr>
        <w:t xml:space="preserve"> </w:t>
      </w:r>
      <w:r>
        <w:rPr>
          <w:rFonts w:ascii="Avenir-Book" w:hAnsi="Avenir-Book" w:cs="Avenir-Book"/>
          <w:sz w:val="24"/>
          <w:szCs w:val="24"/>
          <w:lang w:val="en-US"/>
        </w:rPr>
        <w:t>processing of personal data and on the</w:t>
      </w:r>
      <w:r w:rsidR="00042675">
        <w:rPr>
          <w:rFonts w:ascii="Avenir-Book" w:hAnsi="Avenir-Book" w:cs="Avenir-Book"/>
          <w:sz w:val="24"/>
          <w:szCs w:val="24"/>
          <w:lang w:val="en-US"/>
        </w:rPr>
        <w:t xml:space="preserve"> </w:t>
      </w:r>
      <w:r>
        <w:rPr>
          <w:rFonts w:ascii="Avenir-Book" w:hAnsi="Avenir-Book" w:cs="Avenir-Book"/>
          <w:sz w:val="24"/>
          <w:szCs w:val="24"/>
          <w:lang w:val="en-US"/>
        </w:rPr>
        <w:t>free movement of such data.</w:t>
      </w:r>
    </w:p>
    <w:p w14:paraId="0C065B8D" w14:textId="143C90D4" w:rsidR="00EC3654" w:rsidRPr="00042675" w:rsidRDefault="00EC3654" w:rsidP="00EC3654">
      <w:pPr>
        <w:autoSpaceDE w:val="0"/>
        <w:autoSpaceDN w:val="0"/>
        <w:adjustRightInd w:val="0"/>
        <w:spacing w:line="240" w:lineRule="auto"/>
        <w:rPr>
          <w:rFonts w:ascii="Avenir-Black" w:hAnsi="Avenir-Black" w:cs="Avenir-Black"/>
          <w:b/>
          <w:bCs/>
          <w:sz w:val="24"/>
          <w:szCs w:val="24"/>
          <w:lang w:val="en-US"/>
        </w:rPr>
      </w:pPr>
      <w:r w:rsidRPr="00042675">
        <w:rPr>
          <w:rFonts w:ascii="Avenir-Black" w:hAnsi="Avenir-Black" w:cs="Avenir-Black"/>
          <w:b/>
          <w:bCs/>
          <w:sz w:val="24"/>
          <w:szCs w:val="24"/>
          <w:lang w:val="en-US"/>
        </w:rPr>
        <w:t>EU General</w:t>
      </w:r>
      <w:r w:rsid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Data Protection</w:t>
      </w:r>
      <w:r w:rsid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Regulation 2016</w:t>
      </w:r>
    </w:p>
    <w:p w14:paraId="039D35A0" w14:textId="1DB7FE2A" w:rsidR="00EC3654"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Introduces many significant changes for data</w:t>
      </w:r>
      <w:r w:rsidR="00042675">
        <w:rPr>
          <w:rFonts w:ascii="Avenir-Book" w:hAnsi="Avenir-Book" w:cs="Avenir-Book"/>
          <w:sz w:val="24"/>
          <w:szCs w:val="24"/>
          <w:lang w:val="en-US"/>
        </w:rPr>
        <w:t xml:space="preserve"> </w:t>
      </w:r>
      <w:r>
        <w:rPr>
          <w:rFonts w:ascii="Avenir-Book" w:hAnsi="Avenir-Book" w:cs="Avenir-Book"/>
          <w:sz w:val="24"/>
          <w:szCs w:val="24"/>
          <w:lang w:val="en-US"/>
        </w:rPr>
        <w:t>processors and controllers. The following</w:t>
      </w:r>
    </w:p>
    <w:p w14:paraId="2BC7E2B6" w14:textId="48C16BA5" w:rsidR="00CF29BF" w:rsidRDefault="00EC3654" w:rsidP="00EC365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may be considered some of the more</w:t>
      </w:r>
      <w:r w:rsidR="00042675">
        <w:rPr>
          <w:rFonts w:ascii="Avenir-Book" w:hAnsi="Avenir-Book" w:cs="Avenir-Book"/>
          <w:sz w:val="24"/>
          <w:szCs w:val="24"/>
          <w:lang w:val="en-US"/>
        </w:rPr>
        <w:t xml:space="preserve"> </w:t>
      </w:r>
      <w:r>
        <w:rPr>
          <w:rFonts w:ascii="Avenir-Book" w:hAnsi="Avenir-Book" w:cs="Avenir-Book"/>
          <w:sz w:val="24"/>
          <w:szCs w:val="24"/>
          <w:lang w:val="en-US"/>
        </w:rPr>
        <w:t>significant changes: the concept of consent,</w:t>
      </w:r>
      <w:r w:rsidR="00042675">
        <w:rPr>
          <w:rFonts w:ascii="Avenir-Book" w:hAnsi="Avenir-Book" w:cs="Avenir-Book"/>
          <w:sz w:val="24"/>
          <w:szCs w:val="24"/>
          <w:lang w:val="en-US"/>
        </w:rPr>
        <w:t xml:space="preserve"> </w:t>
      </w:r>
      <w:r>
        <w:rPr>
          <w:rFonts w:ascii="Avenir-Book" w:hAnsi="Avenir-Book" w:cs="Avenir-Book"/>
          <w:sz w:val="24"/>
          <w:szCs w:val="24"/>
          <w:lang w:val="en-US"/>
        </w:rPr>
        <w:t>transfers abroad, the right to be forgotten,</w:t>
      </w:r>
      <w:r w:rsidR="00042675">
        <w:rPr>
          <w:rFonts w:ascii="Avenir-Book" w:hAnsi="Avenir-Book" w:cs="Avenir-Book"/>
          <w:sz w:val="24"/>
          <w:szCs w:val="24"/>
          <w:lang w:val="en-US"/>
        </w:rPr>
        <w:t xml:space="preserve"> </w:t>
      </w:r>
      <w:r>
        <w:rPr>
          <w:rFonts w:ascii="Avenir-Book" w:hAnsi="Avenir-Book" w:cs="Avenir-Book"/>
          <w:sz w:val="24"/>
          <w:szCs w:val="24"/>
          <w:lang w:val="en-US"/>
        </w:rPr>
        <w:t>establishment of the role of the “data</w:t>
      </w:r>
      <w:r w:rsidR="00042675">
        <w:rPr>
          <w:rFonts w:ascii="Avenir-Book" w:hAnsi="Avenir-Book" w:cs="Avenir-Book"/>
          <w:sz w:val="24"/>
          <w:szCs w:val="24"/>
          <w:lang w:val="en-US"/>
        </w:rPr>
        <w:t xml:space="preserve"> </w:t>
      </w:r>
      <w:r>
        <w:rPr>
          <w:rFonts w:ascii="Avenir-Book" w:hAnsi="Avenir-Book" w:cs="Avenir-Book"/>
          <w:sz w:val="24"/>
          <w:szCs w:val="24"/>
          <w:lang w:val="en-US"/>
        </w:rPr>
        <w:t>protection officer,” access requests, home</w:t>
      </w:r>
      <w:r w:rsidR="00042675">
        <w:rPr>
          <w:rFonts w:ascii="Avenir-Book" w:hAnsi="Avenir-Book" w:cs="Avenir-Book"/>
          <w:sz w:val="24"/>
          <w:szCs w:val="24"/>
          <w:lang w:val="en-US"/>
        </w:rPr>
        <w:t xml:space="preserve"> </w:t>
      </w:r>
      <w:r>
        <w:rPr>
          <w:rFonts w:ascii="Avenir-Book" w:hAnsi="Avenir-Book" w:cs="Avenir-Book"/>
          <w:sz w:val="24"/>
          <w:szCs w:val="24"/>
          <w:lang w:val="en-US"/>
        </w:rPr>
        <w:t>state regulation, and increased sanctions.</w:t>
      </w:r>
    </w:p>
    <w:p w14:paraId="052430C4" w14:textId="77777777" w:rsidR="00042675" w:rsidRDefault="00042675" w:rsidP="00042675">
      <w:pPr>
        <w:autoSpaceDE w:val="0"/>
        <w:autoSpaceDN w:val="0"/>
        <w:adjustRightInd w:val="0"/>
        <w:spacing w:line="240" w:lineRule="auto"/>
        <w:rPr>
          <w:rFonts w:ascii="Avenir-Black" w:hAnsi="Avenir-Black" w:cs="Avenir-Black"/>
          <w:sz w:val="24"/>
          <w:szCs w:val="24"/>
          <w:lang w:val="en-US"/>
        </w:rPr>
      </w:pPr>
      <w:r w:rsidRPr="00042675">
        <w:rPr>
          <w:rFonts w:ascii="Avenir-Black" w:hAnsi="Avenir-Black" w:cs="Avenir-Black"/>
          <w:b/>
          <w:bCs/>
          <w:sz w:val="24"/>
          <w:szCs w:val="24"/>
          <w:lang w:val="en-US"/>
        </w:rPr>
        <w:t>Extradition</w:t>
      </w:r>
    </w:p>
    <w:p w14:paraId="2F73CA9D" w14:textId="77777777" w:rsidR="00042675" w:rsidRDefault="00042675" w:rsidP="0004267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Many countries support a formal process</w:t>
      </w:r>
      <w:r>
        <w:rPr>
          <w:rFonts w:ascii="Avenir-Book" w:hAnsi="Avenir-Book" w:cs="Avenir-Book"/>
          <w:sz w:val="24"/>
          <w:szCs w:val="24"/>
          <w:lang w:val="en-US"/>
        </w:rPr>
        <w:t xml:space="preserve"> </w:t>
      </w:r>
      <w:r>
        <w:rPr>
          <w:rFonts w:ascii="Avenir-Book" w:hAnsi="Avenir-Book" w:cs="Avenir-Book"/>
          <w:sz w:val="24"/>
          <w:szCs w:val="24"/>
          <w:lang w:val="en-US"/>
        </w:rPr>
        <w:t>whereby one country transfers a suspected</w:t>
      </w:r>
      <w:r>
        <w:rPr>
          <w:rFonts w:ascii="Avenir-Book" w:hAnsi="Avenir-Book" w:cs="Avenir-Book"/>
          <w:sz w:val="24"/>
          <w:szCs w:val="24"/>
          <w:lang w:val="en-US"/>
        </w:rPr>
        <w:t xml:space="preserve"> </w:t>
      </w:r>
      <w:r>
        <w:rPr>
          <w:rFonts w:ascii="Avenir-Book" w:hAnsi="Avenir-Book" w:cs="Avenir-Book"/>
          <w:sz w:val="24"/>
          <w:szCs w:val="24"/>
          <w:lang w:val="en-US"/>
        </w:rPr>
        <w:t>or convicted criminal to another country.</w:t>
      </w:r>
      <w:r>
        <w:rPr>
          <w:rFonts w:ascii="Avenir-Book" w:hAnsi="Avenir-Book" w:cs="Avenir-Book"/>
          <w:sz w:val="24"/>
          <w:szCs w:val="24"/>
          <w:lang w:val="en-US"/>
        </w:rPr>
        <w:t xml:space="preserve"> </w:t>
      </w:r>
    </w:p>
    <w:p w14:paraId="4A4840DA" w14:textId="127C13A6" w:rsidR="00042675" w:rsidRPr="00042675" w:rsidRDefault="00042675" w:rsidP="00042675">
      <w:pPr>
        <w:autoSpaceDE w:val="0"/>
        <w:autoSpaceDN w:val="0"/>
        <w:adjustRightInd w:val="0"/>
        <w:spacing w:line="240" w:lineRule="auto"/>
        <w:rPr>
          <w:rFonts w:ascii="Avenir-Black" w:hAnsi="Avenir-Black" w:cs="Avenir-Black"/>
          <w:b/>
          <w:bCs/>
          <w:sz w:val="24"/>
          <w:szCs w:val="24"/>
          <w:lang w:val="en-US"/>
        </w:rPr>
      </w:pPr>
      <w:r w:rsidRPr="00042675">
        <w:rPr>
          <w:rFonts w:ascii="Avenir-Black" w:hAnsi="Avenir-Black" w:cs="Avenir-Black"/>
          <w:b/>
          <w:bCs/>
          <w:sz w:val="24"/>
          <w:szCs w:val="24"/>
          <w:lang w:val="en-US"/>
        </w:rPr>
        <w:t>Generally</w:t>
      </w:r>
      <w:r w:rsidRP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Accepted</w:t>
      </w:r>
      <w:r w:rsidRP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Privacy</w:t>
      </w:r>
      <w:r w:rsidRP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Principles</w:t>
      </w:r>
      <w:r w:rsidRPr="00042675">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(GAPP)</w:t>
      </w:r>
    </w:p>
    <w:p w14:paraId="5A413C17" w14:textId="275FE557" w:rsidR="00042675" w:rsidRDefault="00042675" w:rsidP="0004267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AICPA describes 74 privacy principles</w:t>
      </w:r>
      <w:r>
        <w:rPr>
          <w:rFonts w:ascii="Avenir-Book" w:hAnsi="Avenir-Book" w:cs="Avenir-Book"/>
          <w:sz w:val="24"/>
          <w:szCs w:val="24"/>
          <w:lang w:val="en-US"/>
        </w:rPr>
        <w:t xml:space="preserve"> </w:t>
      </w:r>
      <w:r>
        <w:rPr>
          <w:rFonts w:ascii="Avenir-Book" w:hAnsi="Avenir-Book" w:cs="Avenir-Book"/>
          <w:sz w:val="24"/>
          <w:szCs w:val="24"/>
          <w:lang w:val="en-US"/>
        </w:rPr>
        <w:t>in detail. These serve as a framework for</w:t>
      </w:r>
      <w:r>
        <w:rPr>
          <w:rFonts w:ascii="Avenir-Book" w:hAnsi="Avenir-Book" w:cs="Avenir-Book"/>
          <w:sz w:val="24"/>
          <w:szCs w:val="24"/>
          <w:lang w:val="en-US"/>
        </w:rPr>
        <w:t xml:space="preserve"> </w:t>
      </w:r>
      <w:r>
        <w:rPr>
          <w:rFonts w:ascii="Avenir-Book" w:hAnsi="Avenir-Book" w:cs="Avenir-Book"/>
          <w:sz w:val="24"/>
          <w:szCs w:val="24"/>
          <w:lang w:val="en-US"/>
        </w:rPr>
        <w:t>organizations to use to manage privacy risk.</w:t>
      </w:r>
    </w:p>
    <w:p w14:paraId="263C22CB" w14:textId="5B233BA3" w:rsidR="00042675" w:rsidRPr="00042675" w:rsidRDefault="00042675" w:rsidP="00042675">
      <w:pPr>
        <w:autoSpaceDE w:val="0"/>
        <w:autoSpaceDN w:val="0"/>
        <w:adjustRightInd w:val="0"/>
        <w:spacing w:line="240" w:lineRule="auto"/>
        <w:rPr>
          <w:rFonts w:ascii="Avenir-Black" w:hAnsi="Avenir-Black" w:cs="Avenir-Black"/>
          <w:b/>
          <w:bCs/>
          <w:sz w:val="24"/>
          <w:szCs w:val="24"/>
          <w:lang w:val="en-US"/>
        </w:rPr>
      </w:pPr>
      <w:r w:rsidRPr="00042675">
        <w:rPr>
          <w:rFonts w:ascii="Avenir-Black" w:hAnsi="Avenir-Black" w:cs="Avenir-Black"/>
          <w:b/>
          <w:bCs/>
          <w:sz w:val="24"/>
          <w:szCs w:val="24"/>
          <w:lang w:val="en-US"/>
        </w:rPr>
        <w:t>Gramm–Leach–</w:t>
      </w:r>
      <w:r>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Bliley Act (GLBA)</w:t>
      </w:r>
    </w:p>
    <w:p w14:paraId="2D41FC7C" w14:textId="1A9A97E0" w:rsidR="00042675" w:rsidRDefault="00042675" w:rsidP="0004267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Also known as the Financial Modernization</w:t>
      </w:r>
      <w:r>
        <w:rPr>
          <w:rFonts w:ascii="Avenir-Book" w:hAnsi="Avenir-Book" w:cs="Avenir-Book"/>
          <w:sz w:val="24"/>
          <w:szCs w:val="24"/>
          <w:lang w:val="en-US"/>
        </w:rPr>
        <w:t xml:space="preserve"> </w:t>
      </w:r>
      <w:r>
        <w:rPr>
          <w:rFonts w:ascii="Avenir-Book" w:hAnsi="Avenir-Book" w:cs="Avenir-Book"/>
          <w:sz w:val="24"/>
          <w:szCs w:val="24"/>
          <w:lang w:val="en-US"/>
        </w:rPr>
        <w:t>Act of 1999, GLBA is a federal law enacted</w:t>
      </w:r>
    </w:p>
    <w:p w14:paraId="64192484" w14:textId="09232686" w:rsidR="00042675" w:rsidRDefault="00042675" w:rsidP="0004267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in the United States to control the ways that</w:t>
      </w:r>
      <w:r>
        <w:rPr>
          <w:rFonts w:ascii="Avenir-Book" w:hAnsi="Avenir-Book" w:cs="Avenir-Book"/>
          <w:sz w:val="24"/>
          <w:szCs w:val="24"/>
          <w:lang w:val="en-US"/>
        </w:rPr>
        <w:t xml:space="preserve"> </w:t>
      </w:r>
      <w:r>
        <w:rPr>
          <w:rFonts w:ascii="Avenir-Book" w:hAnsi="Avenir-Book" w:cs="Avenir-Book"/>
          <w:sz w:val="24"/>
          <w:szCs w:val="24"/>
          <w:lang w:val="en-US"/>
        </w:rPr>
        <w:t>financial institutions deal with the private</w:t>
      </w:r>
    </w:p>
    <w:p w14:paraId="6F8F3E89" w14:textId="549C7537" w:rsidR="00042675" w:rsidRDefault="00042675" w:rsidP="0004267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information of individuals.</w:t>
      </w:r>
      <w:r>
        <w:rPr>
          <w:rFonts w:ascii="Avenir-Book" w:hAnsi="Avenir-Book" w:cs="Avenir-Book"/>
          <w:sz w:val="24"/>
          <w:szCs w:val="24"/>
          <w:lang w:val="en-US"/>
        </w:rPr>
        <w:t xml:space="preserve"> </w:t>
      </w:r>
      <w:r>
        <w:rPr>
          <w:rFonts w:ascii="Avenir-Black" w:hAnsi="Avenir-Black" w:cs="Avenir-Black"/>
          <w:sz w:val="24"/>
          <w:szCs w:val="24"/>
          <w:lang w:val="en-US"/>
        </w:rPr>
        <w:t xml:space="preserve">Guidelines </w:t>
      </w:r>
      <w:r>
        <w:rPr>
          <w:rFonts w:ascii="Avenir-Book" w:hAnsi="Avenir-Book" w:cs="Avenir-Book"/>
          <w:sz w:val="24"/>
          <w:szCs w:val="24"/>
          <w:lang w:val="en-US"/>
        </w:rPr>
        <w:t>Statements that aren’t designed for</w:t>
      </w:r>
      <w:r>
        <w:rPr>
          <w:rFonts w:ascii="Avenir-Book" w:hAnsi="Avenir-Book" w:cs="Avenir-Book"/>
          <w:sz w:val="24"/>
          <w:szCs w:val="24"/>
          <w:lang w:val="en-US"/>
        </w:rPr>
        <w:t xml:space="preserve"> </w:t>
      </w:r>
      <w:r>
        <w:rPr>
          <w:rFonts w:ascii="Avenir-Book" w:hAnsi="Avenir-Book" w:cs="Avenir-Book"/>
          <w:sz w:val="24"/>
          <w:szCs w:val="24"/>
          <w:lang w:val="en-US"/>
        </w:rPr>
        <w:t>enforcement, but principles that can assist</w:t>
      </w:r>
      <w:r>
        <w:rPr>
          <w:rFonts w:ascii="Avenir-Book" w:hAnsi="Avenir-Book" w:cs="Avenir-Book"/>
          <w:sz w:val="24"/>
          <w:szCs w:val="24"/>
          <w:lang w:val="en-US"/>
        </w:rPr>
        <w:t xml:space="preserve"> </w:t>
      </w:r>
      <w:r>
        <w:rPr>
          <w:rFonts w:ascii="Avenir-Book" w:hAnsi="Avenir-Book" w:cs="Avenir-Book"/>
          <w:sz w:val="24"/>
          <w:szCs w:val="24"/>
          <w:lang w:val="en-US"/>
        </w:rPr>
        <w:t>in accomplishing objectives.</w:t>
      </w:r>
    </w:p>
    <w:p w14:paraId="0812B8F4" w14:textId="527ADF4D" w:rsidR="00042675" w:rsidRPr="00042675" w:rsidRDefault="00042675" w:rsidP="00042675">
      <w:pPr>
        <w:autoSpaceDE w:val="0"/>
        <w:autoSpaceDN w:val="0"/>
        <w:adjustRightInd w:val="0"/>
        <w:spacing w:line="240" w:lineRule="auto"/>
        <w:rPr>
          <w:rFonts w:ascii="Avenir-Black" w:hAnsi="Avenir-Black" w:cs="Avenir-Black"/>
          <w:b/>
          <w:bCs/>
          <w:sz w:val="24"/>
          <w:szCs w:val="24"/>
          <w:lang w:val="en-US"/>
        </w:rPr>
      </w:pPr>
      <w:r w:rsidRPr="00042675">
        <w:rPr>
          <w:rFonts w:ascii="Avenir-Black" w:hAnsi="Avenir-Black" w:cs="Avenir-Black"/>
          <w:b/>
          <w:bCs/>
          <w:sz w:val="24"/>
          <w:szCs w:val="24"/>
          <w:lang w:val="en-US"/>
        </w:rPr>
        <w:t>Harmonization</w:t>
      </w:r>
      <w:r>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of law</w:t>
      </w:r>
    </w:p>
    <w:p w14:paraId="3BE464B8" w14:textId="6CFB3E0A" w:rsidR="00042675" w:rsidRDefault="00042675" w:rsidP="0004267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Specifically, in relation to the European</w:t>
      </w:r>
      <w:r>
        <w:rPr>
          <w:rFonts w:ascii="Avenir-Book" w:hAnsi="Avenir-Book" w:cs="Avenir-Book"/>
          <w:sz w:val="24"/>
          <w:szCs w:val="24"/>
          <w:lang w:val="en-US"/>
        </w:rPr>
        <w:t xml:space="preserve"> </w:t>
      </w:r>
      <w:r>
        <w:rPr>
          <w:rFonts w:ascii="Avenir-Book" w:hAnsi="Avenir-Book" w:cs="Avenir-Book"/>
          <w:sz w:val="24"/>
          <w:szCs w:val="24"/>
          <w:lang w:val="en-US"/>
        </w:rPr>
        <w:t>Union, harmonization of law (or simply</w:t>
      </w:r>
    </w:p>
    <w:p w14:paraId="2F9454F2" w14:textId="08D4D5CA" w:rsidR="00042675" w:rsidRDefault="00042675" w:rsidP="0004267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“harmonization”) is the process of</w:t>
      </w:r>
      <w:r>
        <w:rPr>
          <w:rFonts w:ascii="Avenir-Book" w:hAnsi="Avenir-Book" w:cs="Avenir-Book"/>
          <w:sz w:val="24"/>
          <w:szCs w:val="24"/>
          <w:lang w:val="en-US"/>
        </w:rPr>
        <w:t xml:space="preserve"> </w:t>
      </w:r>
      <w:r>
        <w:rPr>
          <w:rFonts w:ascii="Avenir-Book" w:hAnsi="Avenir-Book" w:cs="Avenir-Book"/>
          <w:sz w:val="24"/>
          <w:szCs w:val="24"/>
          <w:lang w:val="en-US"/>
        </w:rPr>
        <w:t>creating common standards across the</w:t>
      </w:r>
      <w:r>
        <w:rPr>
          <w:rFonts w:ascii="Avenir-Book" w:hAnsi="Avenir-Book" w:cs="Avenir-Book"/>
          <w:sz w:val="24"/>
          <w:szCs w:val="24"/>
          <w:lang w:val="en-US"/>
        </w:rPr>
        <w:t xml:space="preserve"> </w:t>
      </w:r>
      <w:r>
        <w:rPr>
          <w:rFonts w:ascii="Avenir-Book" w:hAnsi="Avenir-Book" w:cs="Avenir-Book"/>
          <w:sz w:val="24"/>
          <w:szCs w:val="24"/>
          <w:lang w:val="en-US"/>
        </w:rPr>
        <w:t>internal market.</w:t>
      </w:r>
    </w:p>
    <w:p w14:paraId="68A68D5F" w14:textId="27E967D7" w:rsidR="00042675" w:rsidRPr="00042675" w:rsidRDefault="00042675" w:rsidP="00042675">
      <w:pPr>
        <w:autoSpaceDE w:val="0"/>
        <w:autoSpaceDN w:val="0"/>
        <w:adjustRightInd w:val="0"/>
        <w:spacing w:line="240" w:lineRule="auto"/>
        <w:rPr>
          <w:rFonts w:ascii="Avenir-Black" w:hAnsi="Avenir-Black" w:cs="Avenir-Black"/>
          <w:b/>
          <w:bCs/>
          <w:sz w:val="24"/>
          <w:szCs w:val="24"/>
          <w:lang w:val="en-US"/>
        </w:rPr>
      </w:pPr>
      <w:r w:rsidRPr="00042675">
        <w:rPr>
          <w:rFonts w:ascii="Avenir-Black" w:hAnsi="Avenir-Black" w:cs="Avenir-Black"/>
          <w:b/>
          <w:bCs/>
          <w:sz w:val="24"/>
          <w:szCs w:val="24"/>
          <w:lang w:val="en-US"/>
        </w:rPr>
        <w:t>Health Insurance</w:t>
      </w:r>
      <w:r>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Portability and</w:t>
      </w:r>
      <w:r>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Accountability</w:t>
      </w:r>
      <w:r>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Act of 1996</w:t>
      </w:r>
      <w:r>
        <w:rPr>
          <w:rFonts w:ascii="Avenir-Black" w:hAnsi="Avenir-Black" w:cs="Avenir-Black"/>
          <w:b/>
          <w:bCs/>
          <w:sz w:val="24"/>
          <w:szCs w:val="24"/>
          <w:lang w:val="en-US"/>
        </w:rPr>
        <w:t xml:space="preserve"> </w:t>
      </w:r>
      <w:r w:rsidRPr="00042675">
        <w:rPr>
          <w:rFonts w:ascii="Avenir-Black" w:hAnsi="Avenir-Black" w:cs="Avenir-Black"/>
          <w:b/>
          <w:bCs/>
          <w:sz w:val="24"/>
          <w:szCs w:val="24"/>
          <w:lang w:val="en-US"/>
        </w:rPr>
        <w:t>(HIPAA)</w:t>
      </w:r>
    </w:p>
    <w:p w14:paraId="4049A85A" w14:textId="6C71191A" w:rsidR="00042675" w:rsidRDefault="00042675" w:rsidP="0004267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Adopts national standards in the United</w:t>
      </w:r>
      <w:r>
        <w:rPr>
          <w:rFonts w:ascii="Avenir-Book" w:hAnsi="Avenir-Book" w:cs="Avenir-Book"/>
          <w:sz w:val="24"/>
          <w:szCs w:val="24"/>
          <w:lang w:val="en-US"/>
        </w:rPr>
        <w:t xml:space="preserve"> </w:t>
      </w:r>
      <w:r>
        <w:rPr>
          <w:rFonts w:ascii="Avenir-Book" w:hAnsi="Avenir-Book" w:cs="Avenir-Book"/>
          <w:sz w:val="24"/>
          <w:szCs w:val="24"/>
          <w:lang w:val="en-US"/>
        </w:rPr>
        <w:t>States for electronic health care</w:t>
      </w:r>
      <w:r>
        <w:rPr>
          <w:rFonts w:ascii="Avenir-Book" w:hAnsi="Avenir-Book" w:cs="Avenir-Book"/>
          <w:sz w:val="24"/>
          <w:szCs w:val="24"/>
          <w:lang w:val="en-US"/>
        </w:rPr>
        <w:t xml:space="preserve"> </w:t>
      </w:r>
      <w:r>
        <w:rPr>
          <w:rFonts w:ascii="Avenir-Book" w:hAnsi="Avenir-Book" w:cs="Avenir-Book"/>
          <w:sz w:val="24"/>
          <w:szCs w:val="24"/>
          <w:lang w:val="en-US"/>
        </w:rPr>
        <w:t>transactions and national identifiers for</w:t>
      </w:r>
      <w:r>
        <w:rPr>
          <w:rFonts w:ascii="Avenir-Book" w:hAnsi="Avenir-Book" w:cs="Avenir-Book"/>
          <w:sz w:val="24"/>
          <w:szCs w:val="24"/>
          <w:lang w:val="en-US"/>
        </w:rPr>
        <w:t xml:space="preserve"> </w:t>
      </w:r>
      <w:r>
        <w:rPr>
          <w:rFonts w:ascii="Avenir-Book" w:hAnsi="Avenir-Book" w:cs="Avenir-Book"/>
          <w:sz w:val="24"/>
          <w:szCs w:val="24"/>
          <w:lang w:val="en-US"/>
        </w:rPr>
        <w:t>providers, health plans, and employers.</w:t>
      </w:r>
      <w:r>
        <w:rPr>
          <w:rFonts w:ascii="Avenir-Book" w:hAnsi="Avenir-Book" w:cs="Avenir-Book"/>
          <w:sz w:val="24"/>
          <w:szCs w:val="24"/>
          <w:lang w:val="en-US"/>
        </w:rPr>
        <w:t xml:space="preserve"> </w:t>
      </w:r>
      <w:r>
        <w:rPr>
          <w:rFonts w:ascii="Avenir-Book" w:hAnsi="Avenir-Book" w:cs="Avenir-Book"/>
          <w:sz w:val="24"/>
          <w:szCs w:val="24"/>
          <w:lang w:val="en-US"/>
        </w:rPr>
        <w:t>Protected health information can be stored</w:t>
      </w:r>
      <w:r>
        <w:rPr>
          <w:rFonts w:ascii="Avenir-Book" w:hAnsi="Avenir-Book" w:cs="Avenir-Book"/>
          <w:sz w:val="24"/>
          <w:szCs w:val="24"/>
          <w:lang w:val="en-US"/>
        </w:rPr>
        <w:t xml:space="preserve"> </w:t>
      </w:r>
      <w:r>
        <w:rPr>
          <w:rFonts w:ascii="Avenir-Book" w:hAnsi="Avenir-Book" w:cs="Avenir-Book"/>
          <w:sz w:val="24"/>
          <w:szCs w:val="24"/>
          <w:lang w:val="en-US"/>
        </w:rPr>
        <w:t>via cloud computing under HIPAA.</w:t>
      </w:r>
    </w:p>
    <w:p w14:paraId="7BA003D7" w14:textId="77777777" w:rsidR="00D641BF" w:rsidRDefault="00042675" w:rsidP="00042675">
      <w:pPr>
        <w:autoSpaceDE w:val="0"/>
        <w:autoSpaceDN w:val="0"/>
        <w:adjustRightInd w:val="0"/>
        <w:spacing w:line="240" w:lineRule="auto"/>
        <w:rPr>
          <w:rFonts w:ascii="Avenir-Black" w:hAnsi="Avenir-Black" w:cs="Avenir-Black"/>
          <w:sz w:val="24"/>
          <w:szCs w:val="24"/>
          <w:lang w:val="en-US"/>
        </w:rPr>
      </w:pPr>
      <w:r w:rsidRPr="00D641BF">
        <w:rPr>
          <w:rFonts w:ascii="Avenir-Black" w:hAnsi="Avenir-Black" w:cs="Avenir-Black"/>
          <w:b/>
          <w:bCs/>
          <w:sz w:val="24"/>
          <w:szCs w:val="24"/>
          <w:lang w:val="en-US"/>
        </w:rPr>
        <w:t>International law</w:t>
      </w:r>
      <w:r>
        <w:rPr>
          <w:rFonts w:ascii="Avenir-Black" w:hAnsi="Avenir-Black" w:cs="Avenir-Black"/>
          <w:sz w:val="24"/>
          <w:szCs w:val="24"/>
          <w:lang w:val="en-US"/>
        </w:rPr>
        <w:t xml:space="preserve"> </w:t>
      </w:r>
    </w:p>
    <w:p w14:paraId="028453F7" w14:textId="6A886B26" w:rsidR="00042675" w:rsidRDefault="00042675" w:rsidP="00042675">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term given to the rules that govern</w:t>
      </w:r>
      <w:r w:rsidR="00D641BF">
        <w:rPr>
          <w:rFonts w:ascii="Avenir-Book" w:hAnsi="Avenir-Book" w:cs="Avenir-Book"/>
          <w:sz w:val="24"/>
          <w:szCs w:val="24"/>
          <w:lang w:val="en-US"/>
        </w:rPr>
        <w:t xml:space="preserve"> </w:t>
      </w:r>
      <w:r>
        <w:rPr>
          <w:rFonts w:ascii="Avenir-Book" w:hAnsi="Avenir-Book" w:cs="Avenir-Book"/>
          <w:sz w:val="24"/>
          <w:szCs w:val="24"/>
          <w:lang w:val="en-US"/>
        </w:rPr>
        <w:t>relations between countries.</w:t>
      </w:r>
    </w:p>
    <w:p w14:paraId="7C422504" w14:textId="5020B8B5" w:rsidR="00D641BF" w:rsidRPr="00D641BF" w:rsidRDefault="00D641BF" w:rsidP="00D641BF">
      <w:pPr>
        <w:autoSpaceDE w:val="0"/>
        <w:autoSpaceDN w:val="0"/>
        <w:adjustRightInd w:val="0"/>
        <w:spacing w:line="240" w:lineRule="auto"/>
        <w:rPr>
          <w:rFonts w:ascii="Avenir-Black" w:hAnsi="Avenir-Black" w:cs="Avenir-Black"/>
          <w:b/>
          <w:bCs/>
          <w:sz w:val="24"/>
          <w:szCs w:val="24"/>
          <w:lang w:val="en-US"/>
        </w:rPr>
      </w:pPr>
      <w:r w:rsidRPr="00D641BF">
        <w:rPr>
          <w:rFonts w:ascii="Avenir-Black" w:hAnsi="Avenir-Black" w:cs="Avenir-Black"/>
          <w:b/>
          <w:bCs/>
          <w:sz w:val="24"/>
          <w:szCs w:val="24"/>
          <w:lang w:val="en-US"/>
        </w:rPr>
        <w:t>ISO/IEC</w:t>
      </w:r>
      <w:r w:rsidRPr="00D641BF">
        <w:rPr>
          <w:rFonts w:ascii="Avenir-Black" w:hAnsi="Avenir-Black" w:cs="Avenir-Black"/>
          <w:b/>
          <w:bCs/>
          <w:sz w:val="24"/>
          <w:szCs w:val="24"/>
          <w:lang w:val="en-US"/>
        </w:rPr>
        <w:t xml:space="preserve"> </w:t>
      </w:r>
      <w:r w:rsidRPr="00D641BF">
        <w:rPr>
          <w:rFonts w:ascii="Avenir-Black" w:hAnsi="Avenir-Black" w:cs="Avenir-Black"/>
          <w:b/>
          <w:bCs/>
          <w:sz w:val="24"/>
          <w:szCs w:val="24"/>
          <w:lang w:val="en-US"/>
        </w:rPr>
        <w:t>27017:2015</w:t>
      </w:r>
    </w:p>
    <w:p w14:paraId="0376F6F1" w14:textId="4EF5ECF8"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This standard provides guidance on the</w:t>
      </w:r>
      <w:r>
        <w:rPr>
          <w:rFonts w:ascii="Avenir-Book" w:hAnsi="Avenir-Book" w:cs="Avenir-Book"/>
          <w:sz w:val="24"/>
          <w:szCs w:val="24"/>
          <w:lang w:val="en-US"/>
        </w:rPr>
        <w:t xml:space="preserve"> </w:t>
      </w:r>
      <w:r>
        <w:rPr>
          <w:rFonts w:ascii="Avenir-Book" w:hAnsi="Avenir-Book" w:cs="Avenir-Book"/>
          <w:sz w:val="24"/>
          <w:szCs w:val="24"/>
          <w:lang w:val="en-US"/>
        </w:rPr>
        <w:t>information security aspects of cloud</w:t>
      </w:r>
      <w:r>
        <w:rPr>
          <w:rFonts w:ascii="Avenir-Book" w:hAnsi="Avenir-Book" w:cs="Avenir-Book"/>
          <w:sz w:val="24"/>
          <w:szCs w:val="24"/>
          <w:lang w:val="en-US"/>
        </w:rPr>
        <w:t xml:space="preserve"> </w:t>
      </w:r>
      <w:r>
        <w:rPr>
          <w:rFonts w:ascii="Avenir-Book" w:hAnsi="Avenir-Book" w:cs="Avenir-Book"/>
          <w:sz w:val="24"/>
          <w:szCs w:val="24"/>
          <w:lang w:val="en-US"/>
        </w:rPr>
        <w:t xml:space="preserve">computing, </w:t>
      </w:r>
      <w:proofErr w:type="gramStart"/>
      <w:r>
        <w:rPr>
          <w:rFonts w:ascii="Avenir-Book" w:hAnsi="Avenir-Book" w:cs="Avenir-Book"/>
          <w:sz w:val="24"/>
          <w:szCs w:val="24"/>
          <w:lang w:val="en-US"/>
        </w:rPr>
        <w:t>recommending</w:t>
      </w:r>
      <w:proofErr w:type="gramEnd"/>
      <w:r>
        <w:rPr>
          <w:rFonts w:ascii="Avenir-Book" w:hAnsi="Avenir-Book" w:cs="Avenir-Book"/>
          <w:sz w:val="24"/>
          <w:szCs w:val="24"/>
          <w:lang w:val="en-US"/>
        </w:rPr>
        <w:t xml:space="preserve"> and assisting</w:t>
      </w:r>
      <w:r>
        <w:rPr>
          <w:rFonts w:ascii="Avenir-Book" w:hAnsi="Avenir-Book" w:cs="Avenir-Book"/>
          <w:sz w:val="24"/>
          <w:szCs w:val="24"/>
          <w:lang w:val="en-US"/>
        </w:rPr>
        <w:t xml:space="preserve"> </w:t>
      </w:r>
      <w:r>
        <w:rPr>
          <w:rFonts w:ascii="Avenir-Book" w:hAnsi="Avenir-Book" w:cs="Avenir-Book"/>
          <w:sz w:val="24"/>
          <w:szCs w:val="24"/>
          <w:lang w:val="en-US"/>
        </w:rPr>
        <w:t>with the implementation of cloud-specific</w:t>
      </w:r>
      <w:r>
        <w:rPr>
          <w:rFonts w:ascii="Avenir-Book" w:hAnsi="Avenir-Book" w:cs="Avenir-Book"/>
          <w:sz w:val="24"/>
          <w:szCs w:val="24"/>
          <w:lang w:val="en-US"/>
        </w:rPr>
        <w:t xml:space="preserve"> </w:t>
      </w:r>
      <w:r>
        <w:rPr>
          <w:rFonts w:ascii="Avenir-Book" w:hAnsi="Avenir-Book" w:cs="Avenir-Book"/>
          <w:sz w:val="24"/>
          <w:szCs w:val="24"/>
          <w:lang w:val="en-US"/>
        </w:rPr>
        <w:t>information security controls supplementing</w:t>
      </w:r>
      <w:r>
        <w:rPr>
          <w:rFonts w:ascii="Avenir-Book" w:hAnsi="Avenir-Book" w:cs="Avenir-Book"/>
          <w:sz w:val="24"/>
          <w:szCs w:val="24"/>
          <w:lang w:val="en-US"/>
        </w:rPr>
        <w:t xml:space="preserve"> </w:t>
      </w:r>
      <w:r>
        <w:rPr>
          <w:rFonts w:ascii="Avenir-Book" w:hAnsi="Avenir-Book" w:cs="Avenir-Book"/>
          <w:sz w:val="24"/>
          <w:szCs w:val="24"/>
          <w:lang w:val="en-US"/>
        </w:rPr>
        <w:t>the guidance in ISO/IEC 27002:2013 and</w:t>
      </w:r>
      <w:r>
        <w:rPr>
          <w:rFonts w:ascii="Avenir-Book" w:hAnsi="Avenir-Book" w:cs="Avenir-Book"/>
          <w:sz w:val="24"/>
          <w:szCs w:val="24"/>
          <w:lang w:val="en-US"/>
        </w:rPr>
        <w:t xml:space="preserve"> </w:t>
      </w:r>
      <w:r>
        <w:rPr>
          <w:rFonts w:ascii="Avenir-Book" w:hAnsi="Avenir-Book" w:cs="Avenir-Book"/>
          <w:sz w:val="24"/>
          <w:szCs w:val="24"/>
          <w:lang w:val="en-US"/>
        </w:rPr>
        <w:t>other ISO27k standards.</w:t>
      </w:r>
    </w:p>
    <w:p w14:paraId="5064D642" w14:textId="0CA9D3C8"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“code of practice” provides additional</w:t>
      </w:r>
      <w:r>
        <w:rPr>
          <w:rFonts w:ascii="Avenir-Book" w:hAnsi="Avenir-Book" w:cs="Avenir-Book"/>
          <w:sz w:val="24"/>
          <w:szCs w:val="24"/>
          <w:lang w:val="en-US"/>
        </w:rPr>
        <w:t xml:space="preserve"> </w:t>
      </w:r>
      <w:r>
        <w:rPr>
          <w:rFonts w:ascii="Avenir-Book" w:hAnsi="Avenir-Book" w:cs="Avenir-Book"/>
          <w:sz w:val="24"/>
          <w:szCs w:val="24"/>
          <w:lang w:val="en-US"/>
        </w:rPr>
        <w:t>information security controls implementation</w:t>
      </w:r>
    </w:p>
    <w:p w14:paraId="0EAC66D5" w14:textId="0FC79F0D"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advice beyond that provided in ISO/IEC</w:t>
      </w:r>
      <w:r>
        <w:rPr>
          <w:rFonts w:ascii="Avenir-Book" w:hAnsi="Avenir-Book" w:cs="Avenir-Book"/>
          <w:sz w:val="24"/>
          <w:szCs w:val="24"/>
          <w:lang w:val="en-US"/>
        </w:rPr>
        <w:t xml:space="preserve"> </w:t>
      </w:r>
      <w:r>
        <w:rPr>
          <w:rFonts w:ascii="Avenir-Book" w:hAnsi="Avenir-Book" w:cs="Avenir-Book"/>
          <w:sz w:val="24"/>
          <w:szCs w:val="24"/>
          <w:lang w:val="en-US"/>
        </w:rPr>
        <w:t>27002:2013, in the cloud computing context.</w:t>
      </w:r>
    </w:p>
    <w:p w14:paraId="01BA7123" w14:textId="017CF774" w:rsidR="00D641BF" w:rsidRPr="00D641BF" w:rsidRDefault="00D641BF" w:rsidP="00D641BF">
      <w:pPr>
        <w:autoSpaceDE w:val="0"/>
        <w:autoSpaceDN w:val="0"/>
        <w:adjustRightInd w:val="0"/>
        <w:spacing w:line="240" w:lineRule="auto"/>
        <w:rPr>
          <w:rFonts w:ascii="Avenir-Black" w:hAnsi="Avenir-Black" w:cs="Avenir-Black"/>
          <w:b/>
          <w:bCs/>
          <w:sz w:val="24"/>
          <w:szCs w:val="24"/>
          <w:lang w:val="en-US"/>
        </w:rPr>
      </w:pPr>
      <w:r w:rsidRPr="00D641BF">
        <w:rPr>
          <w:rFonts w:ascii="Avenir-Black" w:hAnsi="Avenir-Black" w:cs="Avenir-Black"/>
          <w:b/>
          <w:bCs/>
          <w:sz w:val="24"/>
          <w:szCs w:val="24"/>
          <w:lang w:val="en-US"/>
        </w:rPr>
        <w:t>ISO/IEC</w:t>
      </w:r>
      <w:r w:rsidRPr="00D641BF">
        <w:rPr>
          <w:rFonts w:ascii="Avenir-Black" w:hAnsi="Avenir-Black" w:cs="Avenir-Black"/>
          <w:b/>
          <w:bCs/>
          <w:sz w:val="24"/>
          <w:szCs w:val="24"/>
          <w:lang w:val="en-US"/>
        </w:rPr>
        <w:t xml:space="preserve"> </w:t>
      </w:r>
      <w:r w:rsidRPr="00D641BF">
        <w:rPr>
          <w:rFonts w:ascii="Avenir-Black" w:hAnsi="Avenir-Black" w:cs="Avenir-Black"/>
          <w:b/>
          <w:bCs/>
          <w:sz w:val="24"/>
          <w:szCs w:val="24"/>
          <w:lang w:val="en-US"/>
        </w:rPr>
        <w:t>27018:2019</w:t>
      </w:r>
    </w:p>
    <w:p w14:paraId="6BEFD9FB" w14:textId="21F1175A"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first international “code of practice”</w:t>
      </w:r>
      <w:r>
        <w:rPr>
          <w:rFonts w:ascii="Avenir-Book" w:hAnsi="Avenir-Book" w:cs="Avenir-Book"/>
          <w:sz w:val="24"/>
          <w:szCs w:val="24"/>
          <w:lang w:val="en-US"/>
        </w:rPr>
        <w:t xml:space="preserve"> </w:t>
      </w:r>
      <w:r>
        <w:rPr>
          <w:rFonts w:ascii="Avenir-Book" w:hAnsi="Avenir-Book" w:cs="Avenir-Book"/>
          <w:sz w:val="24"/>
          <w:szCs w:val="24"/>
          <w:lang w:val="en-US"/>
        </w:rPr>
        <w:t>that focuses on protection of personal data</w:t>
      </w:r>
    </w:p>
    <w:p w14:paraId="34E0C4ED" w14:textId="24ECEDDC"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in the cloud. It is based on ISO/IEC</w:t>
      </w:r>
      <w:r>
        <w:rPr>
          <w:rFonts w:ascii="Avenir-Book" w:hAnsi="Avenir-Book" w:cs="Avenir-Book"/>
          <w:sz w:val="24"/>
          <w:szCs w:val="24"/>
          <w:lang w:val="en-US"/>
        </w:rPr>
        <w:t xml:space="preserve"> </w:t>
      </w:r>
      <w:r>
        <w:rPr>
          <w:rFonts w:ascii="Avenir-Book" w:hAnsi="Avenir-Book" w:cs="Avenir-Book"/>
          <w:sz w:val="24"/>
          <w:szCs w:val="24"/>
          <w:lang w:val="en-US"/>
        </w:rPr>
        <w:t>information security standard 27002:2013</w:t>
      </w:r>
    </w:p>
    <w:p w14:paraId="59150900" w14:textId="010E0C76"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and provides implementation guidance on</w:t>
      </w:r>
      <w:r>
        <w:rPr>
          <w:rFonts w:ascii="Avenir-Book" w:hAnsi="Avenir-Book" w:cs="Avenir-Book"/>
          <w:sz w:val="24"/>
          <w:szCs w:val="24"/>
          <w:lang w:val="en-US"/>
        </w:rPr>
        <w:t xml:space="preserve"> </w:t>
      </w:r>
      <w:r>
        <w:rPr>
          <w:rFonts w:ascii="Avenir-Book" w:hAnsi="Avenir-Book" w:cs="Avenir-Book"/>
          <w:sz w:val="24"/>
          <w:szCs w:val="24"/>
          <w:lang w:val="en-US"/>
        </w:rPr>
        <w:t>ISO/IEC 27002:2013 controls applicable to</w:t>
      </w:r>
    </w:p>
    <w:p w14:paraId="06903748" w14:textId="1BD2C754"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lastRenderedPageBreak/>
        <w:t>public cloud personally identifiable</w:t>
      </w:r>
      <w:r>
        <w:rPr>
          <w:rFonts w:ascii="Avenir-Book" w:hAnsi="Avenir-Book" w:cs="Avenir-Book"/>
          <w:sz w:val="24"/>
          <w:szCs w:val="24"/>
          <w:lang w:val="en-US"/>
        </w:rPr>
        <w:t xml:space="preserve"> </w:t>
      </w:r>
      <w:r>
        <w:rPr>
          <w:rFonts w:ascii="Avenir-Book" w:hAnsi="Avenir-Book" w:cs="Avenir-Book"/>
          <w:sz w:val="24"/>
          <w:szCs w:val="24"/>
          <w:lang w:val="en-US"/>
        </w:rPr>
        <w:t>information (PII).</w:t>
      </w:r>
    </w:p>
    <w:p w14:paraId="261E2DCB" w14:textId="77777777" w:rsidR="00D641BF" w:rsidRDefault="00D641BF" w:rsidP="00D641BF">
      <w:pPr>
        <w:autoSpaceDE w:val="0"/>
        <w:autoSpaceDN w:val="0"/>
        <w:adjustRightInd w:val="0"/>
        <w:spacing w:line="240" w:lineRule="auto"/>
        <w:rPr>
          <w:rFonts w:ascii="Avenir-Book" w:hAnsi="Avenir-Book" w:cs="Avenir-Book"/>
          <w:sz w:val="24"/>
          <w:szCs w:val="24"/>
          <w:lang w:val="en-US"/>
        </w:rPr>
      </w:pPr>
      <w:r w:rsidRPr="00D641BF">
        <w:rPr>
          <w:rFonts w:ascii="Avenir-Black" w:hAnsi="Avenir-Black" w:cs="Avenir-Black"/>
          <w:b/>
          <w:bCs/>
          <w:sz w:val="24"/>
          <w:szCs w:val="24"/>
          <w:lang w:val="en-US"/>
        </w:rPr>
        <w:t xml:space="preserve">ISO/IEC 27050 </w:t>
      </w:r>
      <w:r w:rsidRPr="00D641BF">
        <w:rPr>
          <w:rFonts w:ascii="Avenir-Book" w:hAnsi="Avenir-Book" w:cs="Avenir-Book"/>
          <w:b/>
          <w:bCs/>
          <w:sz w:val="24"/>
          <w:szCs w:val="24"/>
          <w:lang w:val="en-US"/>
        </w:rPr>
        <w:t>ISO/IEC 27050</w:t>
      </w:r>
      <w:r>
        <w:rPr>
          <w:rFonts w:ascii="Avenir-Book" w:hAnsi="Avenir-Book" w:cs="Avenir-Book"/>
          <w:sz w:val="24"/>
          <w:szCs w:val="24"/>
          <w:lang w:val="en-US"/>
        </w:rPr>
        <w:t xml:space="preserve"> </w:t>
      </w:r>
    </w:p>
    <w:p w14:paraId="0F903D7A" w14:textId="1C670405"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consists of six major</w:t>
      </w:r>
      <w:r>
        <w:rPr>
          <w:rFonts w:ascii="Avenir-Book" w:hAnsi="Avenir-Book" w:cs="Avenir-Book"/>
          <w:sz w:val="24"/>
          <w:szCs w:val="24"/>
          <w:lang w:val="en-US"/>
        </w:rPr>
        <w:t xml:space="preserve"> </w:t>
      </w:r>
      <w:r>
        <w:rPr>
          <w:rFonts w:ascii="Avenir-Book" w:hAnsi="Avenir-Book" w:cs="Avenir-Book"/>
          <w:sz w:val="24"/>
          <w:szCs w:val="24"/>
          <w:lang w:val="en-US"/>
        </w:rPr>
        <w:t>components across the discovery phase of a</w:t>
      </w:r>
      <w:r>
        <w:rPr>
          <w:rFonts w:ascii="Avenir-Book" w:hAnsi="Avenir-Book" w:cs="Avenir-Book"/>
          <w:sz w:val="24"/>
          <w:szCs w:val="24"/>
          <w:lang w:val="en-US"/>
        </w:rPr>
        <w:t xml:space="preserve"> </w:t>
      </w:r>
      <w:proofErr w:type="gramStart"/>
      <w:r>
        <w:rPr>
          <w:rFonts w:ascii="Avenir-Book" w:hAnsi="Avenir-Book" w:cs="Avenir-Book"/>
          <w:sz w:val="24"/>
          <w:szCs w:val="24"/>
          <w:lang w:val="en-US"/>
        </w:rPr>
        <w:t>law suit</w:t>
      </w:r>
      <w:proofErr w:type="gramEnd"/>
      <w:r>
        <w:rPr>
          <w:rFonts w:ascii="Avenir-Book" w:hAnsi="Avenir-Book" w:cs="Avenir-Book"/>
          <w:sz w:val="24"/>
          <w:szCs w:val="24"/>
          <w:lang w:val="en-US"/>
        </w:rPr>
        <w:t>, with an emphasis on the discovery</w:t>
      </w:r>
      <w:r>
        <w:rPr>
          <w:rFonts w:ascii="Avenir-Book" w:hAnsi="Avenir-Book" w:cs="Avenir-Book"/>
          <w:sz w:val="24"/>
          <w:szCs w:val="24"/>
          <w:lang w:val="en-US"/>
        </w:rPr>
        <w:t xml:space="preserve"> </w:t>
      </w:r>
      <w:r>
        <w:rPr>
          <w:rFonts w:ascii="Avenir-Book" w:hAnsi="Avenir-Book" w:cs="Avenir-Book"/>
          <w:sz w:val="24"/>
          <w:szCs w:val="24"/>
          <w:lang w:val="en-US"/>
        </w:rPr>
        <w:t>of electronically stored information (ESI).</w:t>
      </w:r>
    </w:p>
    <w:p w14:paraId="48FCE081" w14:textId="4669E854" w:rsidR="00D641BF" w:rsidRPr="00D641BF" w:rsidRDefault="00D641BF" w:rsidP="00D641BF">
      <w:pPr>
        <w:autoSpaceDE w:val="0"/>
        <w:autoSpaceDN w:val="0"/>
        <w:adjustRightInd w:val="0"/>
        <w:spacing w:line="240" w:lineRule="auto"/>
        <w:rPr>
          <w:rFonts w:ascii="Avenir-Black" w:hAnsi="Avenir-Black" w:cs="Avenir-Black"/>
          <w:b/>
          <w:bCs/>
          <w:sz w:val="24"/>
          <w:szCs w:val="24"/>
          <w:lang w:val="en-US"/>
        </w:rPr>
      </w:pPr>
      <w:r w:rsidRPr="00D641BF">
        <w:rPr>
          <w:rFonts w:ascii="Avenir-Black" w:hAnsi="Avenir-Black" w:cs="Avenir-Black"/>
          <w:b/>
          <w:bCs/>
          <w:sz w:val="24"/>
          <w:szCs w:val="24"/>
          <w:lang w:val="en-US"/>
        </w:rPr>
        <w:t>ISO/IEC</w:t>
      </w:r>
      <w:r>
        <w:rPr>
          <w:rFonts w:ascii="Avenir-Black" w:hAnsi="Avenir-Black" w:cs="Avenir-Black"/>
          <w:b/>
          <w:bCs/>
          <w:sz w:val="24"/>
          <w:szCs w:val="24"/>
          <w:lang w:val="en-US"/>
        </w:rPr>
        <w:t xml:space="preserve"> </w:t>
      </w:r>
      <w:r w:rsidRPr="00D641BF">
        <w:rPr>
          <w:rFonts w:ascii="Avenir-Black" w:hAnsi="Avenir-Black" w:cs="Avenir-Black"/>
          <w:b/>
          <w:bCs/>
          <w:sz w:val="24"/>
          <w:szCs w:val="24"/>
          <w:lang w:val="en-US"/>
        </w:rPr>
        <w:t>31000:2018</w:t>
      </w:r>
    </w:p>
    <w:p w14:paraId="33AA7BF9" w14:textId="67D7806C"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 guidance standard not intended for</w:t>
      </w:r>
      <w:r>
        <w:rPr>
          <w:rFonts w:ascii="Avenir-Book" w:hAnsi="Avenir-Book" w:cs="Avenir-Book"/>
          <w:sz w:val="24"/>
          <w:szCs w:val="24"/>
          <w:lang w:val="en-US"/>
        </w:rPr>
        <w:t xml:space="preserve"> </w:t>
      </w:r>
      <w:r>
        <w:rPr>
          <w:rFonts w:ascii="Avenir-Book" w:hAnsi="Avenir-Book" w:cs="Avenir-Book"/>
          <w:sz w:val="24"/>
          <w:szCs w:val="24"/>
          <w:lang w:val="en-US"/>
        </w:rPr>
        <w:t>certification purposes, implementing it</w:t>
      </w:r>
      <w:r>
        <w:rPr>
          <w:rFonts w:ascii="Avenir-Book" w:hAnsi="Avenir-Book" w:cs="Avenir-Book"/>
          <w:sz w:val="24"/>
          <w:szCs w:val="24"/>
          <w:lang w:val="en-US"/>
        </w:rPr>
        <w:t xml:space="preserve"> </w:t>
      </w:r>
      <w:r>
        <w:rPr>
          <w:rFonts w:ascii="Avenir-Book" w:hAnsi="Avenir-Book" w:cs="Avenir-Book"/>
          <w:sz w:val="24"/>
          <w:szCs w:val="24"/>
          <w:lang w:val="en-US"/>
        </w:rPr>
        <w:t>does not address specific or legal</w:t>
      </w:r>
      <w:r>
        <w:rPr>
          <w:rFonts w:ascii="Avenir-Book" w:hAnsi="Avenir-Book" w:cs="Avenir-Book"/>
          <w:sz w:val="24"/>
          <w:szCs w:val="24"/>
          <w:lang w:val="en-US"/>
        </w:rPr>
        <w:t xml:space="preserve"> </w:t>
      </w:r>
      <w:r>
        <w:rPr>
          <w:rFonts w:ascii="Avenir-Book" w:hAnsi="Avenir-Book" w:cs="Avenir-Book"/>
          <w:sz w:val="24"/>
          <w:szCs w:val="24"/>
          <w:lang w:val="en-US"/>
        </w:rPr>
        <w:t>requirements related to risk assessments,</w:t>
      </w:r>
      <w:r>
        <w:rPr>
          <w:rFonts w:ascii="Avenir-Book" w:hAnsi="Avenir-Book" w:cs="Avenir-Book"/>
          <w:sz w:val="24"/>
          <w:szCs w:val="24"/>
          <w:lang w:val="en-US"/>
        </w:rPr>
        <w:t xml:space="preserve"> </w:t>
      </w:r>
      <w:r>
        <w:rPr>
          <w:rFonts w:ascii="Avenir-Book" w:hAnsi="Avenir-Book" w:cs="Avenir-Book"/>
          <w:sz w:val="24"/>
          <w:szCs w:val="24"/>
          <w:lang w:val="en-US"/>
        </w:rPr>
        <w:t>risk reviews, and overall risk</w:t>
      </w:r>
      <w:r>
        <w:rPr>
          <w:rFonts w:ascii="Avenir-Book" w:hAnsi="Avenir-Book" w:cs="Avenir-Book"/>
          <w:sz w:val="24"/>
          <w:szCs w:val="24"/>
          <w:lang w:val="en-US"/>
        </w:rPr>
        <w:t xml:space="preserve"> m</w:t>
      </w:r>
      <w:r>
        <w:rPr>
          <w:rFonts w:ascii="Avenir-Book" w:hAnsi="Avenir-Book" w:cs="Avenir-Book"/>
          <w:sz w:val="24"/>
          <w:szCs w:val="24"/>
          <w:lang w:val="en-US"/>
        </w:rPr>
        <w:t>anagement.</w:t>
      </w:r>
    </w:p>
    <w:p w14:paraId="65F30C15" w14:textId="77777777" w:rsidR="00D641BF" w:rsidRDefault="00D641BF" w:rsidP="00D641BF">
      <w:pPr>
        <w:autoSpaceDE w:val="0"/>
        <w:autoSpaceDN w:val="0"/>
        <w:adjustRightInd w:val="0"/>
        <w:spacing w:line="240" w:lineRule="auto"/>
        <w:rPr>
          <w:rFonts w:ascii="Avenir-Book" w:hAnsi="Avenir-Book" w:cs="Avenir-Book"/>
          <w:sz w:val="24"/>
          <w:szCs w:val="24"/>
          <w:lang w:val="en-US"/>
        </w:rPr>
      </w:pPr>
      <w:r w:rsidRPr="00D641BF">
        <w:rPr>
          <w:rFonts w:ascii="Avenir-Black" w:hAnsi="Avenir-Black" w:cs="Avenir-Black"/>
          <w:b/>
          <w:bCs/>
          <w:sz w:val="24"/>
          <w:szCs w:val="24"/>
          <w:lang w:val="en-US"/>
        </w:rPr>
        <w:t>Jurisdiction</w:t>
      </w:r>
      <w:r>
        <w:rPr>
          <w:rFonts w:ascii="Avenir-Black" w:hAnsi="Avenir-Black" w:cs="Avenir-Black"/>
          <w:sz w:val="24"/>
          <w:szCs w:val="24"/>
          <w:lang w:val="en-US"/>
        </w:rPr>
        <w:t xml:space="preserve"> </w:t>
      </w:r>
    </w:p>
    <w:p w14:paraId="071E6BFF" w14:textId="77777777"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practical authority granted to a legal</w:t>
      </w:r>
      <w:r>
        <w:rPr>
          <w:rFonts w:ascii="Avenir-Book" w:hAnsi="Avenir-Book" w:cs="Avenir-Book"/>
          <w:sz w:val="24"/>
          <w:szCs w:val="24"/>
          <w:lang w:val="en-US"/>
        </w:rPr>
        <w:t xml:space="preserve"> </w:t>
      </w:r>
      <w:r>
        <w:rPr>
          <w:rFonts w:ascii="Avenir-Book" w:hAnsi="Avenir-Book" w:cs="Avenir-Book"/>
          <w:sz w:val="24"/>
          <w:szCs w:val="24"/>
          <w:lang w:val="en-US"/>
        </w:rPr>
        <w:t>body to administer justice within a defined</w:t>
      </w:r>
      <w:r>
        <w:rPr>
          <w:rFonts w:ascii="Avenir-Book" w:hAnsi="Avenir-Book" w:cs="Avenir-Book"/>
          <w:sz w:val="24"/>
          <w:szCs w:val="24"/>
          <w:lang w:val="en-US"/>
        </w:rPr>
        <w:t xml:space="preserve"> </w:t>
      </w:r>
      <w:r>
        <w:rPr>
          <w:rFonts w:ascii="Avenir-Book" w:hAnsi="Avenir-Book" w:cs="Avenir-Book"/>
          <w:sz w:val="24"/>
          <w:szCs w:val="24"/>
          <w:lang w:val="en-US"/>
        </w:rPr>
        <w:t>area of responsibility.</w:t>
      </w:r>
      <w:r>
        <w:rPr>
          <w:rFonts w:ascii="Avenir-Book" w:hAnsi="Avenir-Book" w:cs="Avenir-Book"/>
          <w:sz w:val="24"/>
          <w:szCs w:val="24"/>
          <w:lang w:val="en-US"/>
        </w:rPr>
        <w:t xml:space="preserve"> </w:t>
      </w:r>
    </w:p>
    <w:p w14:paraId="6BE27291" w14:textId="77777777" w:rsidR="00D641BF" w:rsidRDefault="00D641BF" w:rsidP="00D641BF">
      <w:pPr>
        <w:autoSpaceDE w:val="0"/>
        <w:autoSpaceDN w:val="0"/>
        <w:adjustRightInd w:val="0"/>
        <w:spacing w:line="240" w:lineRule="auto"/>
        <w:rPr>
          <w:rFonts w:ascii="Avenir-Book" w:hAnsi="Avenir-Book" w:cs="Avenir-Book"/>
          <w:sz w:val="24"/>
          <w:szCs w:val="24"/>
          <w:lang w:val="en-US"/>
        </w:rPr>
      </w:pPr>
      <w:r w:rsidRPr="00D641BF">
        <w:rPr>
          <w:rFonts w:ascii="Avenir-Black" w:hAnsi="Avenir-Black" w:cs="Avenir-Black"/>
          <w:b/>
          <w:bCs/>
          <w:sz w:val="24"/>
          <w:szCs w:val="24"/>
          <w:lang w:val="en-US"/>
        </w:rPr>
        <w:t>Legal hold</w:t>
      </w:r>
      <w:r>
        <w:rPr>
          <w:rFonts w:ascii="Avenir-Black" w:hAnsi="Avenir-Black" w:cs="Avenir-Black"/>
          <w:sz w:val="24"/>
          <w:szCs w:val="24"/>
          <w:lang w:val="en-US"/>
        </w:rPr>
        <w:t xml:space="preserve"> </w:t>
      </w:r>
    </w:p>
    <w:p w14:paraId="0E837BE1" w14:textId="1BBC5B63"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Once a party reasonably anticipates</w:t>
      </w:r>
      <w:r>
        <w:rPr>
          <w:rFonts w:ascii="Avenir-Book" w:hAnsi="Avenir-Book" w:cs="Avenir-Book"/>
          <w:sz w:val="24"/>
          <w:szCs w:val="24"/>
          <w:lang w:val="en-US"/>
        </w:rPr>
        <w:t xml:space="preserve"> </w:t>
      </w:r>
      <w:r>
        <w:rPr>
          <w:rFonts w:ascii="Avenir-Book" w:hAnsi="Avenir-Book" w:cs="Avenir-Book"/>
          <w:sz w:val="24"/>
          <w:szCs w:val="24"/>
          <w:lang w:val="en-US"/>
        </w:rPr>
        <w:t>litigation, it must suspend its routine</w:t>
      </w:r>
      <w:r>
        <w:rPr>
          <w:rFonts w:ascii="Avenir-Book" w:hAnsi="Avenir-Book" w:cs="Avenir-Book"/>
          <w:sz w:val="24"/>
          <w:szCs w:val="24"/>
          <w:lang w:val="en-US"/>
        </w:rPr>
        <w:t xml:space="preserve"> </w:t>
      </w:r>
      <w:r>
        <w:rPr>
          <w:rFonts w:ascii="Avenir-Book" w:hAnsi="Avenir-Book" w:cs="Avenir-Book"/>
          <w:sz w:val="24"/>
          <w:szCs w:val="24"/>
          <w:lang w:val="en-US"/>
        </w:rPr>
        <w:t>document retention/destruction policy</w:t>
      </w:r>
      <w:r>
        <w:rPr>
          <w:rFonts w:ascii="Avenir-Book" w:hAnsi="Avenir-Book" w:cs="Avenir-Book"/>
          <w:sz w:val="24"/>
          <w:szCs w:val="24"/>
          <w:lang w:val="en-US"/>
        </w:rPr>
        <w:t xml:space="preserve"> </w:t>
      </w:r>
      <w:r>
        <w:rPr>
          <w:rFonts w:ascii="Avenir-Book" w:hAnsi="Avenir-Book" w:cs="Avenir-Book"/>
          <w:sz w:val="24"/>
          <w:szCs w:val="24"/>
          <w:lang w:val="en-US"/>
        </w:rPr>
        <w:t>and put in place a legal hold to ensure</w:t>
      </w:r>
      <w:r>
        <w:rPr>
          <w:rFonts w:ascii="Avenir-Book" w:hAnsi="Avenir-Book" w:cs="Avenir-Book"/>
          <w:sz w:val="24"/>
          <w:szCs w:val="24"/>
          <w:lang w:val="en-US"/>
        </w:rPr>
        <w:t xml:space="preserve"> </w:t>
      </w:r>
      <w:r>
        <w:rPr>
          <w:rFonts w:ascii="Avenir-Book" w:hAnsi="Avenir-Book" w:cs="Avenir-Book"/>
          <w:sz w:val="24"/>
          <w:szCs w:val="24"/>
          <w:lang w:val="en-US"/>
        </w:rPr>
        <w:t>the preservation of relevant documents.</w:t>
      </w:r>
    </w:p>
    <w:p w14:paraId="31EBBE5E" w14:textId="06AB4CB0" w:rsidR="00D641BF" w:rsidRPr="00D641BF" w:rsidRDefault="00D641BF" w:rsidP="00D641BF">
      <w:pPr>
        <w:autoSpaceDE w:val="0"/>
        <w:autoSpaceDN w:val="0"/>
        <w:adjustRightInd w:val="0"/>
        <w:spacing w:line="240" w:lineRule="auto"/>
        <w:rPr>
          <w:rFonts w:ascii="Avenir-Black" w:hAnsi="Avenir-Black" w:cs="Avenir-Black"/>
          <w:b/>
          <w:bCs/>
          <w:sz w:val="24"/>
          <w:szCs w:val="24"/>
          <w:lang w:val="en-US"/>
        </w:rPr>
      </w:pPr>
      <w:r w:rsidRPr="00D641BF">
        <w:rPr>
          <w:rFonts w:ascii="Avenir-Black" w:hAnsi="Avenir-Black" w:cs="Avenir-Black"/>
          <w:b/>
          <w:bCs/>
          <w:sz w:val="24"/>
          <w:szCs w:val="24"/>
          <w:lang w:val="en-US"/>
        </w:rPr>
        <w:t>NIST SP</w:t>
      </w:r>
      <w:r>
        <w:rPr>
          <w:rFonts w:ascii="Avenir-Black" w:hAnsi="Avenir-Black" w:cs="Avenir-Black"/>
          <w:b/>
          <w:bCs/>
          <w:sz w:val="24"/>
          <w:szCs w:val="24"/>
          <w:lang w:val="en-US"/>
        </w:rPr>
        <w:t xml:space="preserve"> </w:t>
      </w:r>
      <w:r w:rsidRPr="00D641BF">
        <w:rPr>
          <w:rFonts w:ascii="Avenir-Black" w:hAnsi="Avenir-Black" w:cs="Avenir-Black"/>
          <w:b/>
          <w:bCs/>
          <w:sz w:val="24"/>
          <w:szCs w:val="24"/>
          <w:lang w:val="en-US"/>
        </w:rPr>
        <w:t>800-37r2</w:t>
      </w:r>
    </w:p>
    <w:p w14:paraId="002E6272" w14:textId="433CD1EA"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This publication details the NIST Risk</w:t>
      </w:r>
      <w:r>
        <w:rPr>
          <w:rFonts w:ascii="Avenir-Book" w:hAnsi="Avenir-Book" w:cs="Avenir-Book"/>
          <w:sz w:val="24"/>
          <w:szCs w:val="24"/>
          <w:lang w:val="en-US"/>
        </w:rPr>
        <w:t xml:space="preserve"> </w:t>
      </w:r>
      <w:r>
        <w:rPr>
          <w:rFonts w:ascii="Avenir-Book" w:hAnsi="Avenir-Book" w:cs="Avenir-Book"/>
          <w:sz w:val="24"/>
          <w:szCs w:val="24"/>
          <w:lang w:val="en-US"/>
        </w:rPr>
        <w:t>Management Framework, a process for</w:t>
      </w:r>
      <w:r>
        <w:rPr>
          <w:rFonts w:ascii="Avenir-Book" w:hAnsi="Avenir-Book" w:cs="Avenir-Book"/>
          <w:sz w:val="24"/>
          <w:szCs w:val="24"/>
          <w:lang w:val="en-US"/>
        </w:rPr>
        <w:t xml:space="preserve"> </w:t>
      </w:r>
      <w:r>
        <w:rPr>
          <w:rFonts w:ascii="Avenir-Book" w:hAnsi="Avenir-Book" w:cs="Avenir-Book"/>
          <w:sz w:val="24"/>
          <w:szCs w:val="24"/>
          <w:lang w:val="en-US"/>
        </w:rPr>
        <w:t>managing security and privacy risk.</w:t>
      </w:r>
      <w:r>
        <w:rPr>
          <w:rFonts w:ascii="Avenir-Book" w:hAnsi="Avenir-Book" w:cs="Avenir-Book"/>
          <w:sz w:val="24"/>
          <w:szCs w:val="24"/>
          <w:lang w:val="en-US"/>
        </w:rPr>
        <w:t xml:space="preserve"> </w:t>
      </w:r>
      <w:r>
        <w:rPr>
          <w:rFonts w:ascii="Avenir-Book" w:hAnsi="Avenir-Book" w:cs="Avenir-Book"/>
          <w:sz w:val="24"/>
          <w:szCs w:val="24"/>
          <w:lang w:val="en-US"/>
        </w:rPr>
        <w:t>Integrates the Risk Management</w:t>
      </w:r>
      <w:r>
        <w:rPr>
          <w:rFonts w:ascii="Avenir-Book" w:hAnsi="Avenir-Book" w:cs="Avenir-Book"/>
          <w:sz w:val="24"/>
          <w:szCs w:val="24"/>
          <w:lang w:val="en-US"/>
        </w:rPr>
        <w:t xml:space="preserve"> </w:t>
      </w:r>
      <w:r>
        <w:rPr>
          <w:rFonts w:ascii="Avenir-Book" w:hAnsi="Avenir-Book" w:cs="Avenir-Book"/>
          <w:sz w:val="24"/>
          <w:szCs w:val="24"/>
          <w:lang w:val="en-US"/>
        </w:rPr>
        <w:t>Framework (RMF) into the system</w:t>
      </w:r>
    </w:p>
    <w:p w14:paraId="76DD5A0A" w14:textId="5DBA90AE"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development lifecycle (SDLC). Provides</w:t>
      </w:r>
      <w:r>
        <w:rPr>
          <w:rFonts w:ascii="Avenir-Book" w:hAnsi="Avenir-Book" w:cs="Avenir-Book"/>
          <w:sz w:val="24"/>
          <w:szCs w:val="24"/>
          <w:lang w:val="en-US"/>
        </w:rPr>
        <w:t xml:space="preserve"> </w:t>
      </w:r>
      <w:r>
        <w:rPr>
          <w:rFonts w:ascii="Avenir-Book" w:hAnsi="Avenir-Book" w:cs="Avenir-Book"/>
          <w:sz w:val="24"/>
          <w:szCs w:val="24"/>
          <w:lang w:val="en-US"/>
        </w:rPr>
        <w:t>processes (tasks) for each of the six steps</w:t>
      </w:r>
      <w:r>
        <w:rPr>
          <w:rFonts w:ascii="Avenir-Book" w:hAnsi="Avenir-Book" w:cs="Avenir-Book"/>
          <w:sz w:val="24"/>
          <w:szCs w:val="24"/>
          <w:lang w:val="en-US"/>
        </w:rPr>
        <w:t xml:space="preserve"> </w:t>
      </w:r>
      <w:r>
        <w:rPr>
          <w:rFonts w:ascii="Avenir-Book" w:hAnsi="Avenir-Book" w:cs="Avenir-Book"/>
          <w:sz w:val="24"/>
          <w:szCs w:val="24"/>
          <w:lang w:val="en-US"/>
        </w:rPr>
        <w:t>in the RMF at the system level.</w:t>
      </w:r>
    </w:p>
    <w:p w14:paraId="7BCDAD62" w14:textId="05E66DF9" w:rsidR="00D641BF" w:rsidRPr="00D641BF" w:rsidRDefault="00D641BF" w:rsidP="00D641BF">
      <w:pPr>
        <w:autoSpaceDE w:val="0"/>
        <w:autoSpaceDN w:val="0"/>
        <w:adjustRightInd w:val="0"/>
        <w:spacing w:line="240" w:lineRule="auto"/>
        <w:rPr>
          <w:rFonts w:ascii="Avenir-Black" w:hAnsi="Avenir-Black" w:cs="Avenir-Black"/>
          <w:b/>
          <w:bCs/>
          <w:sz w:val="24"/>
          <w:szCs w:val="24"/>
          <w:lang w:val="en-US"/>
        </w:rPr>
      </w:pPr>
      <w:r w:rsidRPr="00D641BF">
        <w:rPr>
          <w:rFonts w:ascii="Avenir-Black" w:hAnsi="Avenir-Black" w:cs="Avenir-Black"/>
          <w:b/>
          <w:bCs/>
          <w:sz w:val="24"/>
          <w:szCs w:val="24"/>
          <w:lang w:val="en-US"/>
        </w:rPr>
        <w:t>NIST SP</w:t>
      </w:r>
      <w:r>
        <w:rPr>
          <w:rFonts w:ascii="Avenir-Black" w:hAnsi="Avenir-Black" w:cs="Avenir-Black"/>
          <w:b/>
          <w:bCs/>
          <w:sz w:val="24"/>
          <w:szCs w:val="24"/>
          <w:lang w:val="en-US"/>
        </w:rPr>
        <w:t xml:space="preserve"> </w:t>
      </w:r>
      <w:r w:rsidRPr="00D641BF">
        <w:rPr>
          <w:rFonts w:ascii="Avenir-Black" w:hAnsi="Avenir-Black" w:cs="Avenir-Black"/>
          <w:b/>
          <w:bCs/>
          <w:sz w:val="24"/>
          <w:szCs w:val="24"/>
          <w:lang w:val="en-US"/>
        </w:rPr>
        <w:t>800-53r4</w:t>
      </w:r>
    </w:p>
    <w:p w14:paraId="491BC5F8" w14:textId="6DFE5207"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 standard to ensure that appropriate</w:t>
      </w:r>
      <w:r>
        <w:rPr>
          <w:rFonts w:ascii="Avenir-Book" w:hAnsi="Avenir-Book" w:cs="Avenir-Book"/>
          <w:sz w:val="24"/>
          <w:szCs w:val="24"/>
          <w:lang w:val="en-US"/>
        </w:rPr>
        <w:t xml:space="preserve"> </w:t>
      </w:r>
      <w:r>
        <w:rPr>
          <w:rFonts w:ascii="Avenir-Book" w:hAnsi="Avenir-Book" w:cs="Avenir-Book"/>
          <w:sz w:val="24"/>
          <w:szCs w:val="24"/>
          <w:lang w:val="en-US"/>
        </w:rPr>
        <w:t>security requirements and security controls</w:t>
      </w:r>
      <w:r>
        <w:rPr>
          <w:rFonts w:ascii="Avenir-Book" w:hAnsi="Avenir-Book" w:cs="Avenir-Book"/>
          <w:sz w:val="24"/>
          <w:szCs w:val="24"/>
          <w:lang w:val="en-US"/>
        </w:rPr>
        <w:t xml:space="preserve"> </w:t>
      </w:r>
      <w:r>
        <w:rPr>
          <w:rFonts w:ascii="Avenir-Book" w:hAnsi="Avenir-Book" w:cs="Avenir-Book"/>
          <w:sz w:val="24"/>
          <w:szCs w:val="24"/>
          <w:lang w:val="en-US"/>
        </w:rPr>
        <w:t>are applied to all U.S. federal government</w:t>
      </w:r>
      <w:r>
        <w:rPr>
          <w:rFonts w:ascii="Avenir-Book" w:hAnsi="Avenir-Book" w:cs="Avenir-Book"/>
          <w:sz w:val="24"/>
          <w:szCs w:val="24"/>
          <w:lang w:val="en-US"/>
        </w:rPr>
        <w:t xml:space="preserve"> </w:t>
      </w:r>
      <w:r>
        <w:rPr>
          <w:rFonts w:ascii="Avenir-Book" w:hAnsi="Avenir-Book" w:cs="Avenir-Book"/>
          <w:sz w:val="24"/>
          <w:szCs w:val="24"/>
          <w:lang w:val="en-US"/>
        </w:rPr>
        <w:t>information and information</w:t>
      </w:r>
      <w:r>
        <w:rPr>
          <w:rFonts w:ascii="Avenir-Book" w:hAnsi="Avenir-Book" w:cs="Avenir-Book"/>
          <w:sz w:val="24"/>
          <w:szCs w:val="24"/>
          <w:lang w:val="en-US"/>
        </w:rPr>
        <w:t xml:space="preserve"> </w:t>
      </w:r>
      <w:r>
        <w:rPr>
          <w:rFonts w:ascii="Avenir-Book" w:hAnsi="Avenir-Book" w:cs="Avenir-Book"/>
          <w:sz w:val="24"/>
          <w:szCs w:val="24"/>
          <w:lang w:val="en-US"/>
        </w:rPr>
        <w:t>management systems.</w:t>
      </w:r>
      <w:r>
        <w:rPr>
          <w:rFonts w:ascii="Avenir-Book" w:hAnsi="Avenir-Book" w:cs="Avenir-Book"/>
          <w:sz w:val="24"/>
          <w:szCs w:val="24"/>
          <w:lang w:val="en-US"/>
        </w:rPr>
        <w:t xml:space="preserve"> </w:t>
      </w:r>
      <w:r>
        <w:rPr>
          <w:rFonts w:ascii="Avenir-Black" w:hAnsi="Avenir-Black" w:cs="Avenir-Black"/>
          <w:sz w:val="24"/>
          <w:szCs w:val="24"/>
          <w:lang w:val="en-US"/>
        </w:rPr>
        <w:t xml:space="preserve">Policies </w:t>
      </w:r>
      <w:r>
        <w:rPr>
          <w:rFonts w:ascii="Avenir-Book" w:hAnsi="Avenir-Book" w:cs="Avenir-Book"/>
          <w:sz w:val="24"/>
          <w:szCs w:val="24"/>
          <w:lang w:val="en-US"/>
        </w:rPr>
        <w:t>Guide the overall governance of an</w:t>
      </w:r>
      <w:r>
        <w:rPr>
          <w:rFonts w:ascii="Avenir-Book" w:hAnsi="Avenir-Book" w:cs="Avenir-Book"/>
          <w:sz w:val="24"/>
          <w:szCs w:val="24"/>
          <w:lang w:val="en-US"/>
        </w:rPr>
        <w:t xml:space="preserve"> </w:t>
      </w:r>
      <w:r>
        <w:rPr>
          <w:rFonts w:ascii="Avenir-Book" w:hAnsi="Avenir-Book" w:cs="Avenir-Book"/>
          <w:sz w:val="24"/>
          <w:szCs w:val="24"/>
          <w:lang w:val="en-US"/>
        </w:rPr>
        <w:t>organization and require both penalties as</w:t>
      </w:r>
      <w:r>
        <w:rPr>
          <w:rFonts w:ascii="Avenir-Book" w:hAnsi="Avenir-Book" w:cs="Avenir-Book"/>
          <w:sz w:val="24"/>
          <w:szCs w:val="24"/>
          <w:lang w:val="en-US"/>
        </w:rPr>
        <w:t xml:space="preserve"> </w:t>
      </w:r>
      <w:r>
        <w:rPr>
          <w:rFonts w:ascii="Avenir-Book" w:hAnsi="Avenir-Book" w:cs="Avenir-Book"/>
          <w:sz w:val="24"/>
          <w:szCs w:val="24"/>
          <w:lang w:val="en-US"/>
        </w:rPr>
        <w:t>well as senior management sponsorship to</w:t>
      </w:r>
      <w:r>
        <w:rPr>
          <w:rFonts w:ascii="Avenir-Book" w:hAnsi="Avenir-Book" w:cs="Avenir-Book"/>
          <w:sz w:val="24"/>
          <w:szCs w:val="24"/>
          <w:lang w:val="en-US"/>
        </w:rPr>
        <w:t xml:space="preserve"> </w:t>
      </w:r>
      <w:r>
        <w:rPr>
          <w:rFonts w:ascii="Avenir-Book" w:hAnsi="Avenir-Book" w:cs="Avenir-Book"/>
          <w:sz w:val="24"/>
          <w:szCs w:val="24"/>
          <w:lang w:val="en-US"/>
        </w:rPr>
        <w:t>be effective.</w:t>
      </w:r>
    </w:p>
    <w:p w14:paraId="4EC63747" w14:textId="77777777" w:rsidR="00D641BF" w:rsidRDefault="00D641BF" w:rsidP="00D641BF">
      <w:pPr>
        <w:autoSpaceDE w:val="0"/>
        <w:autoSpaceDN w:val="0"/>
        <w:adjustRightInd w:val="0"/>
        <w:spacing w:line="240" w:lineRule="auto"/>
        <w:rPr>
          <w:rFonts w:ascii="Avenir-Book" w:hAnsi="Avenir-Book" w:cs="Avenir-Book"/>
          <w:sz w:val="24"/>
          <w:szCs w:val="24"/>
          <w:lang w:val="en-US"/>
        </w:rPr>
      </w:pPr>
      <w:r w:rsidRPr="00D641BF">
        <w:rPr>
          <w:rFonts w:ascii="Avenir-Black" w:hAnsi="Avenir-Black" w:cs="Avenir-Black"/>
          <w:b/>
          <w:bCs/>
          <w:sz w:val="24"/>
          <w:szCs w:val="24"/>
          <w:lang w:val="en-US"/>
        </w:rPr>
        <w:t xml:space="preserve">Privacy Act 1988 </w:t>
      </w:r>
      <w:r w:rsidRPr="00D641BF">
        <w:rPr>
          <w:rFonts w:ascii="Avenir-Book" w:hAnsi="Avenir-Book" w:cs="Avenir-Book"/>
          <w:b/>
          <w:bCs/>
          <w:sz w:val="24"/>
          <w:szCs w:val="24"/>
          <w:lang w:val="en-US"/>
        </w:rPr>
        <w:t>The Privacy Act 1988 (Privacy Act)</w:t>
      </w:r>
      <w:r>
        <w:rPr>
          <w:rFonts w:ascii="Avenir-Book" w:hAnsi="Avenir-Book" w:cs="Avenir-Book"/>
          <w:sz w:val="24"/>
          <w:szCs w:val="24"/>
          <w:lang w:val="en-US"/>
        </w:rPr>
        <w:t xml:space="preserve"> </w:t>
      </w:r>
    </w:p>
    <w:p w14:paraId="1BF354BC" w14:textId="69C6BFEC"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is an</w:t>
      </w:r>
      <w:r>
        <w:rPr>
          <w:rFonts w:ascii="Avenir-Book" w:hAnsi="Avenir-Book" w:cs="Avenir-Book"/>
          <w:sz w:val="24"/>
          <w:szCs w:val="24"/>
          <w:lang w:val="en-US"/>
        </w:rPr>
        <w:t xml:space="preserve"> </w:t>
      </w:r>
      <w:r>
        <w:rPr>
          <w:rFonts w:ascii="Avenir-Book" w:hAnsi="Avenir-Book" w:cs="Avenir-Book"/>
          <w:sz w:val="24"/>
          <w:szCs w:val="24"/>
          <w:lang w:val="en-US"/>
        </w:rPr>
        <w:t>Australian law that regulates the handling of</w:t>
      </w:r>
      <w:r>
        <w:rPr>
          <w:rFonts w:ascii="Avenir-Book" w:hAnsi="Avenir-Book" w:cs="Avenir-Book"/>
          <w:sz w:val="24"/>
          <w:szCs w:val="24"/>
          <w:lang w:val="en-US"/>
        </w:rPr>
        <w:t xml:space="preserve"> </w:t>
      </w:r>
      <w:r>
        <w:rPr>
          <w:rFonts w:ascii="Avenir-Book" w:hAnsi="Avenir-Book" w:cs="Avenir-Book"/>
          <w:sz w:val="24"/>
          <w:szCs w:val="24"/>
          <w:lang w:val="en-US"/>
        </w:rPr>
        <w:t>personal information about individuals. This</w:t>
      </w:r>
    </w:p>
    <w:p w14:paraId="19266263" w14:textId="77777777"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includes the collection, use, storage, and</w:t>
      </w:r>
      <w:r>
        <w:rPr>
          <w:rFonts w:ascii="Avenir-Book" w:hAnsi="Avenir-Book" w:cs="Avenir-Book"/>
          <w:sz w:val="24"/>
          <w:szCs w:val="24"/>
          <w:lang w:val="en-US"/>
        </w:rPr>
        <w:t xml:space="preserve"> </w:t>
      </w:r>
      <w:r>
        <w:rPr>
          <w:rFonts w:ascii="Avenir-Book" w:hAnsi="Avenir-Book" w:cs="Avenir-Book"/>
          <w:sz w:val="24"/>
          <w:szCs w:val="24"/>
          <w:lang w:val="en-US"/>
        </w:rPr>
        <w:t>disclosure of personal information, and</w:t>
      </w:r>
      <w:r>
        <w:rPr>
          <w:rFonts w:ascii="Avenir-Book" w:hAnsi="Avenir-Book" w:cs="Avenir-Book"/>
          <w:sz w:val="24"/>
          <w:szCs w:val="24"/>
          <w:lang w:val="en-US"/>
        </w:rPr>
        <w:t xml:space="preserve"> </w:t>
      </w:r>
      <w:r>
        <w:rPr>
          <w:rFonts w:ascii="Avenir-Book" w:hAnsi="Avenir-Book" w:cs="Avenir-Book"/>
          <w:sz w:val="24"/>
          <w:szCs w:val="24"/>
          <w:lang w:val="en-US"/>
        </w:rPr>
        <w:t>access to and correction of that information.</w:t>
      </w:r>
      <w:r>
        <w:rPr>
          <w:rFonts w:ascii="Avenir-Book" w:hAnsi="Avenir-Book" w:cs="Avenir-Book"/>
          <w:sz w:val="24"/>
          <w:szCs w:val="24"/>
          <w:lang w:val="en-US"/>
        </w:rPr>
        <w:t xml:space="preserve"> </w:t>
      </w:r>
      <w:r>
        <w:rPr>
          <w:rFonts w:ascii="Avenir-Black" w:hAnsi="Avenir-Black" w:cs="Avenir-Black"/>
          <w:sz w:val="24"/>
          <w:szCs w:val="24"/>
          <w:lang w:val="en-US"/>
        </w:rPr>
        <w:t xml:space="preserve">Policy </w:t>
      </w:r>
      <w:r>
        <w:rPr>
          <w:rFonts w:ascii="Avenir-Book" w:hAnsi="Avenir-Book" w:cs="Avenir-Book"/>
          <w:sz w:val="24"/>
          <w:szCs w:val="24"/>
          <w:lang w:val="en-US"/>
        </w:rPr>
        <w:t>General high-level statement that</w:t>
      </w:r>
      <w:r>
        <w:rPr>
          <w:rFonts w:ascii="Avenir-Book" w:hAnsi="Avenir-Book" w:cs="Avenir-Book"/>
          <w:sz w:val="24"/>
          <w:szCs w:val="24"/>
          <w:lang w:val="en-US"/>
        </w:rPr>
        <w:t xml:space="preserve"> </w:t>
      </w:r>
      <w:r>
        <w:rPr>
          <w:rFonts w:ascii="Avenir-Book" w:hAnsi="Avenir-Book" w:cs="Avenir-Book"/>
          <w:sz w:val="24"/>
          <w:szCs w:val="24"/>
          <w:lang w:val="en-US"/>
        </w:rPr>
        <w:t>prescribes actions and consequences for</w:t>
      </w:r>
      <w:r>
        <w:rPr>
          <w:rFonts w:ascii="Avenir-Book" w:hAnsi="Avenir-Book" w:cs="Avenir-Book"/>
          <w:sz w:val="24"/>
          <w:szCs w:val="24"/>
          <w:lang w:val="en-US"/>
        </w:rPr>
        <w:t xml:space="preserve"> </w:t>
      </w:r>
      <w:r>
        <w:rPr>
          <w:rFonts w:ascii="Avenir-Book" w:hAnsi="Avenir-Book" w:cs="Avenir-Book"/>
          <w:sz w:val="24"/>
          <w:szCs w:val="24"/>
          <w:lang w:val="en-US"/>
        </w:rPr>
        <w:t>organizational members.</w:t>
      </w:r>
      <w:r>
        <w:rPr>
          <w:rFonts w:ascii="Avenir-Book" w:hAnsi="Avenir-Book" w:cs="Avenir-Book"/>
          <w:sz w:val="24"/>
          <w:szCs w:val="24"/>
          <w:lang w:val="en-US"/>
        </w:rPr>
        <w:t xml:space="preserve"> </w:t>
      </w:r>
    </w:p>
    <w:p w14:paraId="421907DF" w14:textId="77777777" w:rsidR="00D641BF" w:rsidRDefault="00D641BF" w:rsidP="00D641BF">
      <w:pPr>
        <w:autoSpaceDE w:val="0"/>
        <w:autoSpaceDN w:val="0"/>
        <w:adjustRightInd w:val="0"/>
        <w:spacing w:line="240" w:lineRule="auto"/>
        <w:rPr>
          <w:rFonts w:ascii="Avenir-Black" w:hAnsi="Avenir-Black" w:cs="Avenir-Black"/>
          <w:sz w:val="24"/>
          <w:szCs w:val="24"/>
          <w:lang w:val="en-US"/>
        </w:rPr>
      </w:pPr>
      <w:r w:rsidRPr="00D641BF">
        <w:rPr>
          <w:rFonts w:ascii="Avenir-Black" w:hAnsi="Avenir-Black" w:cs="Avenir-Black"/>
          <w:b/>
          <w:bCs/>
          <w:sz w:val="24"/>
          <w:szCs w:val="24"/>
          <w:lang w:val="en-US"/>
        </w:rPr>
        <w:t>Procedure</w:t>
      </w:r>
      <w:r>
        <w:rPr>
          <w:rFonts w:ascii="Avenir-Black" w:hAnsi="Avenir-Black" w:cs="Avenir-Black"/>
          <w:sz w:val="24"/>
          <w:szCs w:val="24"/>
          <w:lang w:val="en-US"/>
        </w:rPr>
        <w:t xml:space="preserve"> </w:t>
      </w:r>
    </w:p>
    <w:p w14:paraId="6D1E9103" w14:textId="7CC37413"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methods and instructions on how to</w:t>
      </w:r>
      <w:r>
        <w:rPr>
          <w:rFonts w:ascii="Avenir-Book" w:hAnsi="Avenir-Book" w:cs="Avenir-Book"/>
          <w:sz w:val="24"/>
          <w:szCs w:val="24"/>
          <w:lang w:val="en-US"/>
        </w:rPr>
        <w:t xml:space="preserve"> </w:t>
      </w:r>
      <w:r>
        <w:rPr>
          <w:rFonts w:ascii="Avenir-Book" w:hAnsi="Avenir-Book" w:cs="Avenir-Book"/>
          <w:sz w:val="24"/>
          <w:szCs w:val="24"/>
          <w:lang w:val="en-US"/>
        </w:rPr>
        <w:t>maintain or accomplish the directives of the</w:t>
      </w:r>
      <w:r>
        <w:rPr>
          <w:rFonts w:ascii="Avenir-Book" w:hAnsi="Avenir-Book" w:cs="Avenir-Book"/>
          <w:sz w:val="24"/>
          <w:szCs w:val="24"/>
          <w:lang w:val="en-US"/>
        </w:rPr>
        <w:t xml:space="preserve"> </w:t>
      </w:r>
      <w:r>
        <w:rPr>
          <w:rFonts w:ascii="Avenir-Book" w:hAnsi="Avenir-Book" w:cs="Avenir-Book"/>
          <w:sz w:val="24"/>
          <w:szCs w:val="24"/>
          <w:lang w:val="en-US"/>
        </w:rPr>
        <w:t>policy.</w:t>
      </w:r>
    </w:p>
    <w:p w14:paraId="58C989A2" w14:textId="70EF26FA" w:rsidR="00D641BF" w:rsidRPr="006A75D4" w:rsidRDefault="00D641BF" w:rsidP="00D641BF">
      <w:pPr>
        <w:autoSpaceDE w:val="0"/>
        <w:autoSpaceDN w:val="0"/>
        <w:adjustRightInd w:val="0"/>
        <w:spacing w:line="240" w:lineRule="auto"/>
        <w:rPr>
          <w:rFonts w:ascii="Avenir-Black" w:hAnsi="Avenir-Black" w:cs="Avenir-Black"/>
          <w:b/>
          <w:bCs/>
          <w:sz w:val="24"/>
          <w:szCs w:val="24"/>
          <w:lang w:val="en-US"/>
        </w:rPr>
      </w:pPr>
      <w:r w:rsidRPr="00D641BF">
        <w:rPr>
          <w:rFonts w:ascii="Avenir-Black" w:hAnsi="Avenir-Black" w:cs="Avenir-Black"/>
          <w:b/>
          <w:bCs/>
          <w:sz w:val="24"/>
          <w:szCs w:val="24"/>
          <w:lang w:val="en-US"/>
        </w:rPr>
        <w:t>Sarbanes–Oxley</w:t>
      </w:r>
      <w:r w:rsidR="006A75D4">
        <w:rPr>
          <w:rFonts w:ascii="Avenir-Black" w:hAnsi="Avenir-Black" w:cs="Avenir-Black"/>
          <w:b/>
          <w:bCs/>
          <w:sz w:val="24"/>
          <w:szCs w:val="24"/>
          <w:lang w:val="en-US"/>
        </w:rPr>
        <w:t xml:space="preserve"> </w:t>
      </w:r>
      <w:r w:rsidRPr="006A75D4">
        <w:rPr>
          <w:rFonts w:ascii="Avenir-Black" w:hAnsi="Avenir-Black" w:cs="Avenir-Black"/>
          <w:b/>
          <w:bCs/>
          <w:sz w:val="24"/>
          <w:szCs w:val="24"/>
          <w:lang w:val="en-US"/>
        </w:rPr>
        <w:t>Act (SOX)</w:t>
      </w:r>
    </w:p>
    <w:p w14:paraId="240AAF5F" w14:textId="43B22F16" w:rsidR="00D641BF" w:rsidRDefault="00D641BF" w:rsidP="00D641BF">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 xml:space="preserve">U.S. legislation </w:t>
      </w:r>
      <w:r w:rsidR="006A75D4">
        <w:rPr>
          <w:rFonts w:ascii="Avenir-Book" w:hAnsi="Avenir-Book" w:cs="Avenir-Book"/>
          <w:sz w:val="24"/>
          <w:szCs w:val="24"/>
          <w:lang w:val="en-US"/>
        </w:rPr>
        <w:t xml:space="preserve">was </w:t>
      </w:r>
      <w:r>
        <w:rPr>
          <w:rFonts w:ascii="Avenir-Book" w:hAnsi="Avenir-Book" w:cs="Avenir-Book"/>
          <w:sz w:val="24"/>
          <w:szCs w:val="24"/>
          <w:lang w:val="en-US"/>
        </w:rPr>
        <w:t>enacted to protect</w:t>
      </w:r>
      <w:r w:rsidR="006A75D4">
        <w:rPr>
          <w:rFonts w:ascii="Avenir-Book" w:hAnsi="Avenir-Book" w:cs="Avenir-Book"/>
          <w:sz w:val="24"/>
          <w:szCs w:val="24"/>
          <w:lang w:val="en-US"/>
        </w:rPr>
        <w:t xml:space="preserve"> </w:t>
      </w:r>
      <w:r>
        <w:rPr>
          <w:rFonts w:ascii="Avenir-Book" w:hAnsi="Avenir-Book" w:cs="Avenir-Book"/>
          <w:sz w:val="24"/>
          <w:szCs w:val="24"/>
          <w:lang w:val="en-US"/>
        </w:rPr>
        <w:t xml:space="preserve">shareholders and the </w:t>
      </w:r>
      <w:proofErr w:type="gramStart"/>
      <w:r>
        <w:rPr>
          <w:rFonts w:ascii="Avenir-Book" w:hAnsi="Avenir-Book" w:cs="Avenir-Book"/>
          <w:sz w:val="24"/>
          <w:szCs w:val="24"/>
          <w:lang w:val="en-US"/>
        </w:rPr>
        <w:t>general public</w:t>
      </w:r>
      <w:proofErr w:type="gramEnd"/>
      <w:r>
        <w:rPr>
          <w:rFonts w:ascii="Avenir-Book" w:hAnsi="Avenir-Book" w:cs="Avenir-Book"/>
          <w:sz w:val="24"/>
          <w:szCs w:val="24"/>
          <w:lang w:val="en-US"/>
        </w:rPr>
        <w:t xml:space="preserve"> from</w:t>
      </w:r>
      <w:r w:rsidR="006A75D4">
        <w:rPr>
          <w:rFonts w:ascii="Avenir-Book" w:hAnsi="Avenir-Book" w:cs="Avenir-Book"/>
          <w:sz w:val="24"/>
          <w:szCs w:val="24"/>
          <w:lang w:val="en-US"/>
        </w:rPr>
        <w:t xml:space="preserve"> </w:t>
      </w:r>
      <w:r>
        <w:rPr>
          <w:rFonts w:ascii="Avenir-Book" w:hAnsi="Avenir-Book" w:cs="Avenir-Book"/>
          <w:sz w:val="24"/>
          <w:szCs w:val="24"/>
          <w:lang w:val="en-US"/>
        </w:rPr>
        <w:t>accounting errors and fraudulent practices</w:t>
      </w:r>
      <w:r w:rsidR="006A75D4">
        <w:rPr>
          <w:rFonts w:ascii="Avenir-Book" w:hAnsi="Avenir-Book" w:cs="Avenir-Book"/>
          <w:sz w:val="24"/>
          <w:szCs w:val="24"/>
          <w:lang w:val="en-US"/>
        </w:rPr>
        <w:t xml:space="preserve"> </w:t>
      </w:r>
      <w:r>
        <w:rPr>
          <w:rFonts w:ascii="Avenir-Book" w:hAnsi="Avenir-Book" w:cs="Avenir-Book"/>
          <w:sz w:val="24"/>
          <w:szCs w:val="24"/>
          <w:lang w:val="en-US"/>
        </w:rPr>
        <w:t>in the enterprise.</w:t>
      </w:r>
    </w:p>
    <w:p w14:paraId="7B38DFFC" w14:textId="5E07918E" w:rsidR="006A75D4" w:rsidRPr="00A950A1" w:rsidRDefault="006A75D4" w:rsidP="006A75D4">
      <w:pPr>
        <w:autoSpaceDE w:val="0"/>
        <w:autoSpaceDN w:val="0"/>
        <w:adjustRightInd w:val="0"/>
        <w:spacing w:line="240" w:lineRule="auto"/>
        <w:rPr>
          <w:rFonts w:ascii="Avenir-Black" w:hAnsi="Avenir-Black" w:cs="Avenir-Black"/>
          <w:b/>
          <w:bCs/>
          <w:sz w:val="24"/>
          <w:szCs w:val="24"/>
          <w:lang w:val="en-US"/>
        </w:rPr>
      </w:pPr>
      <w:r w:rsidRPr="00A950A1">
        <w:rPr>
          <w:rFonts w:ascii="Avenir-Black" w:hAnsi="Avenir-Black" w:cs="Avenir-Black"/>
          <w:b/>
          <w:bCs/>
          <w:sz w:val="24"/>
          <w:szCs w:val="24"/>
          <w:lang w:val="en-US"/>
        </w:rPr>
        <w:t>Service</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Organization</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Controls 1</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(SOC 1)</w:t>
      </w:r>
    </w:p>
    <w:p w14:paraId="7D1D7AE3" w14:textId="4B008293" w:rsidR="006A75D4" w:rsidRDefault="006A75D4" w:rsidP="006A75D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Reports on controls at a service</w:t>
      </w:r>
      <w:r w:rsidR="00A950A1">
        <w:rPr>
          <w:rFonts w:ascii="Avenir-Book" w:hAnsi="Avenir-Book" w:cs="Avenir-Book"/>
          <w:sz w:val="24"/>
          <w:szCs w:val="24"/>
          <w:lang w:val="en-US"/>
        </w:rPr>
        <w:t xml:space="preserve"> </w:t>
      </w:r>
      <w:r>
        <w:rPr>
          <w:rFonts w:ascii="Avenir-Book" w:hAnsi="Avenir-Book" w:cs="Avenir-Book"/>
          <w:sz w:val="24"/>
          <w:szCs w:val="24"/>
          <w:lang w:val="en-US"/>
        </w:rPr>
        <w:t>organization relevant to user entities’</w:t>
      </w:r>
      <w:r w:rsidR="00A950A1">
        <w:rPr>
          <w:rFonts w:ascii="Avenir-Book" w:hAnsi="Avenir-Book" w:cs="Avenir-Book"/>
          <w:sz w:val="24"/>
          <w:szCs w:val="24"/>
          <w:lang w:val="en-US"/>
        </w:rPr>
        <w:t xml:space="preserve"> </w:t>
      </w:r>
      <w:r>
        <w:rPr>
          <w:rFonts w:ascii="Avenir-Book" w:hAnsi="Avenir-Book" w:cs="Avenir-Book"/>
          <w:sz w:val="24"/>
          <w:szCs w:val="24"/>
          <w:lang w:val="en-US"/>
        </w:rPr>
        <w:t>internal control over financial reporting.</w:t>
      </w:r>
      <w:r w:rsidR="00A950A1">
        <w:rPr>
          <w:rFonts w:ascii="Avenir-Book" w:hAnsi="Avenir-Book" w:cs="Avenir-Book"/>
          <w:sz w:val="24"/>
          <w:szCs w:val="24"/>
          <w:lang w:val="en-US"/>
        </w:rPr>
        <w:t xml:space="preserve"> </w:t>
      </w:r>
      <w:r>
        <w:rPr>
          <w:rFonts w:ascii="Avenir-Book" w:hAnsi="Avenir-Book" w:cs="Avenir-Book"/>
          <w:sz w:val="24"/>
          <w:szCs w:val="24"/>
          <w:lang w:val="en-US"/>
        </w:rPr>
        <w:t>Used to provide information to the auditor</w:t>
      </w:r>
      <w:r w:rsidR="00A950A1">
        <w:rPr>
          <w:rFonts w:ascii="Avenir-Book" w:hAnsi="Avenir-Book" w:cs="Avenir-Book"/>
          <w:sz w:val="24"/>
          <w:szCs w:val="24"/>
          <w:lang w:val="en-US"/>
        </w:rPr>
        <w:t xml:space="preserve"> </w:t>
      </w:r>
      <w:proofErr w:type="gramStart"/>
      <w:r>
        <w:rPr>
          <w:rFonts w:ascii="Avenir-Book" w:hAnsi="Avenir-Book" w:cs="Avenir-Book"/>
          <w:sz w:val="24"/>
          <w:szCs w:val="24"/>
          <w:lang w:val="en-US"/>
        </w:rPr>
        <w:t>in order to</w:t>
      </w:r>
      <w:proofErr w:type="gramEnd"/>
      <w:r>
        <w:rPr>
          <w:rFonts w:ascii="Avenir-Book" w:hAnsi="Avenir-Book" w:cs="Avenir-Book"/>
          <w:sz w:val="24"/>
          <w:szCs w:val="24"/>
          <w:lang w:val="en-US"/>
        </w:rPr>
        <w:t xml:space="preserve"> enable risk assessment.</w:t>
      </w:r>
    </w:p>
    <w:p w14:paraId="5AE3D205" w14:textId="01D765EE" w:rsidR="006A75D4" w:rsidRPr="00A950A1" w:rsidRDefault="006A75D4" w:rsidP="006A75D4">
      <w:pPr>
        <w:autoSpaceDE w:val="0"/>
        <w:autoSpaceDN w:val="0"/>
        <w:adjustRightInd w:val="0"/>
        <w:spacing w:line="240" w:lineRule="auto"/>
        <w:rPr>
          <w:rFonts w:ascii="Avenir-Black" w:hAnsi="Avenir-Black" w:cs="Avenir-Black"/>
          <w:b/>
          <w:bCs/>
          <w:sz w:val="24"/>
          <w:szCs w:val="24"/>
          <w:lang w:val="en-US"/>
        </w:rPr>
      </w:pPr>
      <w:r w:rsidRPr="00A950A1">
        <w:rPr>
          <w:rFonts w:ascii="Avenir-Black" w:hAnsi="Avenir-Black" w:cs="Avenir-Black"/>
          <w:b/>
          <w:bCs/>
          <w:sz w:val="24"/>
          <w:szCs w:val="24"/>
          <w:lang w:val="en-US"/>
        </w:rPr>
        <w:t>Service</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Organization</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Controls 2</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(SOC 2)</w:t>
      </w:r>
    </w:p>
    <w:p w14:paraId="32238548" w14:textId="7D4E12B4" w:rsidR="006A75D4" w:rsidRDefault="006A75D4" w:rsidP="006A75D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Reports on controls at a service organization</w:t>
      </w:r>
      <w:r w:rsidR="00A950A1">
        <w:rPr>
          <w:rFonts w:ascii="Avenir-Book" w:hAnsi="Avenir-Book" w:cs="Avenir-Book"/>
          <w:sz w:val="24"/>
          <w:szCs w:val="24"/>
          <w:lang w:val="en-US"/>
        </w:rPr>
        <w:t xml:space="preserve"> </w:t>
      </w:r>
      <w:r>
        <w:rPr>
          <w:rFonts w:ascii="Avenir-Book" w:hAnsi="Avenir-Book" w:cs="Avenir-Book"/>
          <w:sz w:val="24"/>
          <w:szCs w:val="24"/>
          <w:lang w:val="en-US"/>
        </w:rPr>
        <w:t>relevant to security, availability, processing</w:t>
      </w:r>
    </w:p>
    <w:p w14:paraId="5F74049B" w14:textId="66F59C6D" w:rsidR="006A75D4" w:rsidRDefault="006A75D4" w:rsidP="006A75D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lastRenderedPageBreak/>
        <w:t>integrity, confidentiality, and privacy. Used</w:t>
      </w:r>
      <w:r w:rsidR="00A950A1">
        <w:rPr>
          <w:rFonts w:ascii="Avenir-Book" w:hAnsi="Avenir-Book" w:cs="Avenir-Book"/>
          <w:sz w:val="24"/>
          <w:szCs w:val="24"/>
          <w:lang w:val="en-US"/>
        </w:rPr>
        <w:t xml:space="preserve"> </w:t>
      </w:r>
      <w:r>
        <w:rPr>
          <w:rFonts w:ascii="Avenir-Book" w:hAnsi="Avenir-Book" w:cs="Avenir-Book"/>
          <w:sz w:val="24"/>
          <w:szCs w:val="24"/>
          <w:lang w:val="en-US"/>
        </w:rPr>
        <w:t>to provide management and specified</w:t>
      </w:r>
      <w:r w:rsidR="00A950A1">
        <w:rPr>
          <w:rFonts w:ascii="Avenir-Book" w:hAnsi="Avenir-Book" w:cs="Avenir-Book"/>
          <w:sz w:val="24"/>
          <w:szCs w:val="24"/>
          <w:lang w:val="en-US"/>
        </w:rPr>
        <w:t xml:space="preserve"> </w:t>
      </w:r>
      <w:r>
        <w:rPr>
          <w:rFonts w:ascii="Avenir-Book" w:hAnsi="Avenir-Book" w:cs="Avenir-Book"/>
          <w:sz w:val="24"/>
          <w:szCs w:val="24"/>
          <w:lang w:val="en-US"/>
        </w:rPr>
        <w:t>entities with information.</w:t>
      </w:r>
    </w:p>
    <w:p w14:paraId="6BBE7D05" w14:textId="456779B0" w:rsidR="006A75D4" w:rsidRPr="00A950A1" w:rsidRDefault="006A75D4" w:rsidP="006A75D4">
      <w:pPr>
        <w:autoSpaceDE w:val="0"/>
        <w:autoSpaceDN w:val="0"/>
        <w:adjustRightInd w:val="0"/>
        <w:spacing w:line="240" w:lineRule="auto"/>
        <w:rPr>
          <w:rFonts w:ascii="Avenir-Black" w:hAnsi="Avenir-Black" w:cs="Avenir-Black"/>
          <w:b/>
          <w:bCs/>
          <w:sz w:val="24"/>
          <w:szCs w:val="24"/>
          <w:lang w:val="en-US"/>
        </w:rPr>
      </w:pPr>
      <w:r w:rsidRPr="00A950A1">
        <w:rPr>
          <w:rFonts w:ascii="Avenir-Black" w:hAnsi="Avenir-Black" w:cs="Avenir-Black"/>
          <w:b/>
          <w:bCs/>
          <w:sz w:val="24"/>
          <w:szCs w:val="24"/>
          <w:lang w:val="en-US"/>
        </w:rPr>
        <w:t>Service</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Organization</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Controls 3</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(SOC 3)</w:t>
      </w:r>
    </w:p>
    <w:p w14:paraId="3753ADDE" w14:textId="519279A6" w:rsidR="006A75D4" w:rsidRDefault="006A75D4" w:rsidP="006A75D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Reports on controls at a service organization</w:t>
      </w:r>
      <w:r w:rsidR="00A950A1">
        <w:rPr>
          <w:rFonts w:ascii="Avenir-Book" w:hAnsi="Avenir-Book" w:cs="Avenir-Book"/>
          <w:sz w:val="24"/>
          <w:szCs w:val="24"/>
          <w:lang w:val="en-US"/>
        </w:rPr>
        <w:t xml:space="preserve"> </w:t>
      </w:r>
      <w:r>
        <w:rPr>
          <w:rFonts w:ascii="Avenir-Book" w:hAnsi="Avenir-Book" w:cs="Avenir-Book"/>
          <w:sz w:val="24"/>
          <w:szCs w:val="24"/>
          <w:lang w:val="en-US"/>
        </w:rPr>
        <w:t>relevant to security, availability, processing</w:t>
      </w:r>
      <w:r w:rsidR="00A950A1">
        <w:rPr>
          <w:rFonts w:ascii="Avenir-Book" w:hAnsi="Avenir-Book" w:cs="Avenir-Book"/>
          <w:sz w:val="24"/>
          <w:szCs w:val="24"/>
          <w:lang w:val="en-US"/>
        </w:rPr>
        <w:t xml:space="preserve"> </w:t>
      </w:r>
      <w:r>
        <w:rPr>
          <w:rFonts w:ascii="Avenir-Book" w:hAnsi="Avenir-Book" w:cs="Avenir-Book"/>
          <w:sz w:val="24"/>
          <w:szCs w:val="24"/>
          <w:lang w:val="en-US"/>
        </w:rPr>
        <w:t>integrity, confidentiality, and privacy. Used</w:t>
      </w:r>
      <w:r w:rsidR="00A950A1">
        <w:rPr>
          <w:rFonts w:ascii="Avenir-Book" w:hAnsi="Avenir-Book" w:cs="Avenir-Book"/>
          <w:sz w:val="24"/>
          <w:szCs w:val="24"/>
          <w:lang w:val="en-US"/>
        </w:rPr>
        <w:t xml:space="preserve"> </w:t>
      </w:r>
      <w:r>
        <w:rPr>
          <w:rFonts w:ascii="Avenir-Book" w:hAnsi="Avenir-Book" w:cs="Avenir-Book"/>
          <w:sz w:val="24"/>
          <w:szCs w:val="24"/>
          <w:lang w:val="en-US"/>
        </w:rPr>
        <w:t>to provide information for general use by</w:t>
      </w:r>
      <w:r w:rsidR="00A950A1">
        <w:rPr>
          <w:rFonts w:ascii="Avenir-Book" w:hAnsi="Avenir-Book" w:cs="Avenir-Book"/>
          <w:sz w:val="24"/>
          <w:szCs w:val="24"/>
          <w:lang w:val="en-US"/>
        </w:rPr>
        <w:t xml:space="preserve"> </w:t>
      </w:r>
      <w:r>
        <w:rPr>
          <w:rFonts w:ascii="Avenir-Book" w:hAnsi="Avenir-Book" w:cs="Avenir-Book"/>
          <w:sz w:val="24"/>
          <w:szCs w:val="24"/>
          <w:lang w:val="en-US"/>
        </w:rPr>
        <w:t>any interested party.</w:t>
      </w:r>
    </w:p>
    <w:p w14:paraId="0AC3ED12" w14:textId="77777777" w:rsidR="00A950A1" w:rsidRDefault="006A75D4" w:rsidP="006A75D4">
      <w:pPr>
        <w:autoSpaceDE w:val="0"/>
        <w:autoSpaceDN w:val="0"/>
        <w:adjustRightInd w:val="0"/>
        <w:spacing w:line="240" w:lineRule="auto"/>
        <w:rPr>
          <w:rFonts w:ascii="Avenir-Book" w:hAnsi="Avenir-Book" w:cs="Avenir-Book"/>
          <w:sz w:val="24"/>
          <w:szCs w:val="24"/>
          <w:lang w:val="en-US"/>
        </w:rPr>
      </w:pPr>
      <w:r w:rsidRPr="00A950A1">
        <w:rPr>
          <w:rFonts w:ascii="Avenir-Black" w:hAnsi="Avenir-Black" w:cs="Avenir-Black"/>
          <w:b/>
          <w:bCs/>
          <w:sz w:val="24"/>
          <w:szCs w:val="24"/>
          <w:lang w:val="en-US"/>
        </w:rPr>
        <w:t>Standards</w:t>
      </w:r>
      <w:r>
        <w:rPr>
          <w:rFonts w:ascii="Avenir-Black" w:hAnsi="Avenir-Black" w:cs="Avenir-Black"/>
          <w:sz w:val="24"/>
          <w:szCs w:val="24"/>
          <w:lang w:val="en-US"/>
        </w:rPr>
        <w:t xml:space="preserve"> </w:t>
      </w:r>
    </w:p>
    <w:p w14:paraId="1F0DB915" w14:textId="24E55625" w:rsidR="006A75D4" w:rsidRDefault="006A75D4" w:rsidP="006A75D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Implementable selections of tools,</w:t>
      </w:r>
      <w:r w:rsidR="00A950A1">
        <w:rPr>
          <w:rFonts w:ascii="Avenir-Book" w:hAnsi="Avenir-Book" w:cs="Avenir-Book"/>
          <w:sz w:val="24"/>
          <w:szCs w:val="24"/>
          <w:lang w:val="en-US"/>
        </w:rPr>
        <w:t xml:space="preserve"> </w:t>
      </w:r>
      <w:r>
        <w:rPr>
          <w:rFonts w:ascii="Avenir-Book" w:hAnsi="Avenir-Book" w:cs="Avenir-Book"/>
          <w:sz w:val="24"/>
          <w:szCs w:val="24"/>
          <w:lang w:val="en-US"/>
        </w:rPr>
        <w:t>technology, hardware, and software.</w:t>
      </w:r>
    </w:p>
    <w:p w14:paraId="1C4D6A1C" w14:textId="77777777" w:rsidR="00A950A1" w:rsidRDefault="006A75D4" w:rsidP="006A75D4">
      <w:pPr>
        <w:autoSpaceDE w:val="0"/>
        <w:autoSpaceDN w:val="0"/>
        <w:adjustRightInd w:val="0"/>
        <w:spacing w:line="240" w:lineRule="auto"/>
        <w:rPr>
          <w:rFonts w:ascii="Avenir-Book" w:hAnsi="Avenir-Book" w:cs="Avenir-Book"/>
          <w:sz w:val="24"/>
          <w:szCs w:val="24"/>
          <w:lang w:val="en-US"/>
        </w:rPr>
      </w:pPr>
      <w:r w:rsidRPr="00A950A1">
        <w:rPr>
          <w:rFonts w:ascii="Avenir-Black" w:hAnsi="Avenir-Black" w:cs="Avenir-Black"/>
          <w:b/>
          <w:bCs/>
          <w:sz w:val="24"/>
          <w:szCs w:val="24"/>
          <w:lang w:val="en-US"/>
        </w:rPr>
        <w:t>Subpoena</w:t>
      </w:r>
      <w:r>
        <w:rPr>
          <w:rFonts w:ascii="Avenir-Black" w:hAnsi="Avenir-Black" w:cs="Avenir-Black"/>
          <w:sz w:val="24"/>
          <w:szCs w:val="24"/>
          <w:lang w:val="en-US"/>
        </w:rPr>
        <w:t xml:space="preserve"> </w:t>
      </w:r>
    </w:p>
    <w:p w14:paraId="67C43D8D" w14:textId="4512F380" w:rsidR="006A75D4" w:rsidRDefault="006A75D4" w:rsidP="006A75D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subpoena is deemed issued by an</w:t>
      </w:r>
      <w:r w:rsidR="00A950A1">
        <w:rPr>
          <w:rFonts w:ascii="Avenir-Book" w:hAnsi="Avenir-Book" w:cs="Avenir-Book"/>
          <w:sz w:val="24"/>
          <w:szCs w:val="24"/>
          <w:lang w:val="en-US"/>
        </w:rPr>
        <w:t xml:space="preserve"> </w:t>
      </w:r>
      <w:r>
        <w:rPr>
          <w:rFonts w:ascii="Avenir-Book" w:hAnsi="Avenir-Book" w:cs="Avenir-Book"/>
          <w:sz w:val="24"/>
          <w:szCs w:val="24"/>
          <w:lang w:val="en-US"/>
        </w:rPr>
        <w:t>officer of the court and must be obeyed in</w:t>
      </w:r>
      <w:r w:rsidR="00A950A1">
        <w:rPr>
          <w:rFonts w:ascii="Avenir-Book" w:hAnsi="Avenir-Book" w:cs="Avenir-Book"/>
          <w:sz w:val="24"/>
          <w:szCs w:val="24"/>
          <w:lang w:val="en-US"/>
        </w:rPr>
        <w:t xml:space="preserve"> </w:t>
      </w:r>
      <w:r>
        <w:rPr>
          <w:rFonts w:ascii="Avenir-Book" w:hAnsi="Avenir-Book" w:cs="Avenir-Book"/>
          <w:sz w:val="24"/>
          <w:szCs w:val="24"/>
          <w:lang w:val="en-US"/>
        </w:rPr>
        <w:t>much the same manner as a warrant.</w:t>
      </w:r>
    </w:p>
    <w:p w14:paraId="3F793427" w14:textId="77777777" w:rsidR="00A950A1" w:rsidRDefault="006A75D4" w:rsidP="006A75D4">
      <w:pPr>
        <w:autoSpaceDE w:val="0"/>
        <w:autoSpaceDN w:val="0"/>
        <w:adjustRightInd w:val="0"/>
        <w:spacing w:line="240" w:lineRule="auto"/>
        <w:rPr>
          <w:rFonts w:ascii="Avenir-Book" w:hAnsi="Avenir-Book" w:cs="Avenir-Book"/>
          <w:sz w:val="24"/>
          <w:szCs w:val="24"/>
          <w:lang w:val="en-US"/>
        </w:rPr>
      </w:pPr>
      <w:r w:rsidRPr="00A950A1">
        <w:rPr>
          <w:rFonts w:ascii="Avenir-Black" w:hAnsi="Avenir-Black" w:cs="Avenir-Black"/>
          <w:b/>
          <w:bCs/>
          <w:sz w:val="24"/>
          <w:szCs w:val="24"/>
          <w:lang w:val="en-US"/>
        </w:rPr>
        <w:t>Tort law</w:t>
      </w:r>
    </w:p>
    <w:p w14:paraId="17E8E276" w14:textId="26D7414B" w:rsidR="006A75D4" w:rsidRDefault="006A75D4" w:rsidP="006A75D4">
      <w:pPr>
        <w:autoSpaceDE w:val="0"/>
        <w:autoSpaceDN w:val="0"/>
        <w:adjustRightInd w:val="0"/>
        <w:spacing w:line="240" w:lineRule="auto"/>
        <w:rPr>
          <w:rFonts w:ascii="Avenir-Book" w:hAnsi="Avenir-Book" w:cs="Avenir-Book"/>
          <w:sz w:val="24"/>
          <w:szCs w:val="24"/>
          <w:lang w:val="en-US"/>
        </w:rPr>
      </w:pPr>
      <w:r w:rsidRPr="00A950A1">
        <w:rPr>
          <w:rFonts w:ascii="Avenir-Book" w:hAnsi="Avenir-Book" w:cs="Avenir-Book"/>
          <w:sz w:val="24"/>
          <w:szCs w:val="24"/>
          <w:lang w:val="en-US"/>
        </w:rPr>
        <w:t xml:space="preserve"> </w:t>
      </w:r>
      <w:r>
        <w:rPr>
          <w:rFonts w:ascii="Avenir-Book" w:hAnsi="Avenir-Book" w:cs="Avenir-Book"/>
          <w:sz w:val="24"/>
          <w:szCs w:val="24"/>
          <w:lang w:val="en-US"/>
        </w:rPr>
        <w:t>A body of rights, obligations, and remedies</w:t>
      </w:r>
      <w:r w:rsidR="00A950A1">
        <w:rPr>
          <w:rFonts w:ascii="Avenir-Book" w:hAnsi="Avenir-Book" w:cs="Avenir-Book"/>
          <w:sz w:val="24"/>
          <w:szCs w:val="24"/>
          <w:lang w:val="en-US"/>
        </w:rPr>
        <w:t xml:space="preserve"> </w:t>
      </w:r>
      <w:r>
        <w:rPr>
          <w:rFonts w:ascii="Avenir-Book" w:hAnsi="Avenir-Book" w:cs="Avenir-Book"/>
          <w:sz w:val="24"/>
          <w:szCs w:val="24"/>
          <w:lang w:val="en-US"/>
        </w:rPr>
        <w:t>that sets out reliefs for persons suffering</w:t>
      </w:r>
      <w:r w:rsidR="00A950A1">
        <w:rPr>
          <w:rFonts w:ascii="Avenir-Book" w:hAnsi="Avenir-Book" w:cs="Avenir-Book"/>
          <w:sz w:val="24"/>
          <w:szCs w:val="24"/>
          <w:lang w:val="en-US"/>
        </w:rPr>
        <w:t xml:space="preserve"> </w:t>
      </w:r>
      <w:r>
        <w:rPr>
          <w:rFonts w:ascii="Avenir-Book" w:hAnsi="Avenir-Book" w:cs="Avenir-Book"/>
          <w:sz w:val="24"/>
          <w:szCs w:val="24"/>
          <w:lang w:val="en-US"/>
        </w:rPr>
        <w:t>harm because of the wrongful acts</w:t>
      </w:r>
      <w:r w:rsidR="00A950A1">
        <w:rPr>
          <w:rFonts w:ascii="Avenir-Book" w:hAnsi="Avenir-Book" w:cs="Avenir-Book"/>
          <w:sz w:val="24"/>
          <w:szCs w:val="24"/>
          <w:lang w:val="en-US"/>
        </w:rPr>
        <w:t xml:space="preserve"> </w:t>
      </w:r>
      <w:r>
        <w:rPr>
          <w:rFonts w:ascii="Avenir-Book" w:hAnsi="Avenir-Book" w:cs="Avenir-Book"/>
          <w:sz w:val="24"/>
          <w:szCs w:val="24"/>
          <w:lang w:val="en-US"/>
        </w:rPr>
        <w:t>of others.</w:t>
      </w:r>
    </w:p>
    <w:p w14:paraId="6CDABF96" w14:textId="01128E1A" w:rsidR="006A75D4" w:rsidRPr="00A950A1" w:rsidRDefault="006A75D4" w:rsidP="006A75D4">
      <w:pPr>
        <w:autoSpaceDE w:val="0"/>
        <w:autoSpaceDN w:val="0"/>
        <w:adjustRightInd w:val="0"/>
        <w:spacing w:line="240" w:lineRule="auto"/>
        <w:rPr>
          <w:rFonts w:ascii="Avenir-Black" w:hAnsi="Avenir-Black" w:cs="Avenir-Black"/>
          <w:b/>
          <w:bCs/>
          <w:sz w:val="24"/>
          <w:szCs w:val="24"/>
          <w:lang w:val="en-US"/>
        </w:rPr>
      </w:pPr>
      <w:r w:rsidRPr="00A950A1">
        <w:rPr>
          <w:rFonts w:ascii="Avenir-Black" w:hAnsi="Avenir-Black" w:cs="Avenir-Black"/>
          <w:b/>
          <w:bCs/>
          <w:sz w:val="24"/>
          <w:szCs w:val="24"/>
          <w:lang w:val="en-US"/>
        </w:rPr>
        <w:t>Trust Services</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Principles and</w:t>
      </w:r>
      <w:r w:rsidR="00A950A1">
        <w:rPr>
          <w:rFonts w:ascii="Avenir-Black" w:hAnsi="Avenir-Black" w:cs="Avenir-Black"/>
          <w:b/>
          <w:bCs/>
          <w:sz w:val="24"/>
          <w:szCs w:val="24"/>
          <w:lang w:val="en-US"/>
        </w:rPr>
        <w:t xml:space="preserve"> </w:t>
      </w:r>
      <w:r w:rsidRPr="00A950A1">
        <w:rPr>
          <w:rFonts w:ascii="Avenir-Black" w:hAnsi="Avenir-Black" w:cs="Avenir-Black"/>
          <w:b/>
          <w:bCs/>
          <w:sz w:val="24"/>
          <w:szCs w:val="24"/>
          <w:lang w:val="en-US"/>
        </w:rPr>
        <w:t>Criteria (TSP)</w:t>
      </w:r>
    </w:p>
    <w:p w14:paraId="0CBCB2B6" w14:textId="4F449DB2" w:rsidR="006A75D4" w:rsidRDefault="006A75D4" w:rsidP="006A75D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An auditing system whereby various</w:t>
      </w:r>
      <w:r w:rsidR="00A950A1">
        <w:rPr>
          <w:rFonts w:ascii="Avenir-Book" w:hAnsi="Avenir-Book" w:cs="Avenir-Book"/>
          <w:sz w:val="24"/>
          <w:szCs w:val="24"/>
          <w:lang w:val="en-US"/>
        </w:rPr>
        <w:t xml:space="preserve"> </w:t>
      </w:r>
      <w:r>
        <w:rPr>
          <w:rFonts w:ascii="Avenir-Book" w:hAnsi="Avenir-Book" w:cs="Avenir-Book"/>
          <w:sz w:val="24"/>
          <w:szCs w:val="24"/>
          <w:lang w:val="en-US"/>
        </w:rPr>
        <w:t>criterion areas are evaluated along with</w:t>
      </w:r>
      <w:r w:rsidR="00A950A1">
        <w:rPr>
          <w:rFonts w:ascii="Avenir-Book" w:hAnsi="Avenir-Book" w:cs="Avenir-Book"/>
          <w:sz w:val="24"/>
          <w:szCs w:val="24"/>
          <w:lang w:val="en-US"/>
        </w:rPr>
        <w:t xml:space="preserve"> </w:t>
      </w:r>
      <w:r>
        <w:rPr>
          <w:rFonts w:ascii="Avenir-Book" w:hAnsi="Avenir-Book" w:cs="Avenir-Book"/>
          <w:sz w:val="24"/>
          <w:szCs w:val="24"/>
          <w:lang w:val="en-US"/>
        </w:rPr>
        <w:t>controls within an organization</w:t>
      </w:r>
      <w:r w:rsidR="00A950A1">
        <w:rPr>
          <w:rFonts w:ascii="Avenir-Book" w:hAnsi="Avenir-Book" w:cs="Avenir-Book"/>
          <w:sz w:val="24"/>
          <w:szCs w:val="24"/>
          <w:lang w:val="en-US"/>
        </w:rPr>
        <w:t xml:space="preserve"> that includes, security, processing integrity, availability, confidentiality, and privacy.</w:t>
      </w:r>
    </w:p>
    <w:p w14:paraId="608F3DDC" w14:textId="77777777" w:rsidR="00A950A1" w:rsidRDefault="006A75D4" w:rsidP="006A75D4">
      <w:pPr>
        <w:autoSpaceDE w:val="0"/>
        <w:autoSpaceDN w:val="0"/>
        <w:adjustRightInd w:val="0"/>
        <w:spacing w:line="240" w:lineRule="auto"/>
        <w:rPr>
          <w:rFonts w:ascii="Avenir-Book" w:hAnsi="Avenir-Book" w:cs="Avenir-Book"/>
          <w:sz w:val="24"/>
          <w:szCs w:val="24"/>
          <w:lang w:val="en-US"/>
        </w:rPr>
      </w:pPr>
      <w:r w:rsidRPr="00A950A1">
        <w:rPr>
          <w:rFonts w:ascii="Avenir-Black" w:hAnsi="Avenir-Black" w:cs="Avenir-Black"/>
          <w:b/>
          <w:bCs/>
          <w:sz w:val="24"/>
          <w:szCs w:val="24"/>
          <w:lang w:val="en-US"/>
        </w:rPr>
        <w:t>Warrant</w:t>
      </w:r>
      <w:r>
        <w:rPr>
          <w:rFonts w:ascii="Avenir-Black" w:hAnsi="Avenir-Black" w:cs="Avenir-Black"/>
          <w:sz w:val="24"/>
          <w:szCs w:val="24"/>
          <w:lang w:val="en-US"/>
        </w:rPr>
        <w:t xml:space="preserve"> </w:t>
      </w:r>
    </w:p>
    <w:p w14:paraId="795B3A63" w14:textId="66A03D4F" w:rsidR="006A75D4" w:rsidRDefault="006A75D4" w:rsidP="006A75D4">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Authorization issued by a magistrate or</w:t>
      </w:r>
      <w:r w:rsidR="00A950A1">
        <w:rPr>
          <w:rFonts w:ascii="Avenir-Book" w:hAnsi="Avenir-Book" w:cs="Avenir-Book"/>
          <w:sz w:val="24"/>
          <w:szCs w:val="24"/>
          <w:lang w:val="en-US"/>
        </w:rPr>
        <w:t xml:space="preserve"> </w:t>
      </w:r>
      <w:r>
        <w:rPr>
          <w:rFonts w:ascii="Avenir-Book" w:hAnsi="Avenir-Book" w:cs="Avenir-Book"/>
          <w:sz w:val="24"/>
          <w:szCs w:val="24"/>
          <w:lang w:val="en-US"/>
        </w:rPr>
        <w:t xml:space="preserve">other official </w:t>
      </w:r>
      <w:r w:rsidR="004929F9">
        <w:rPr>
          <w:rFonts w:ascii="Avenir-Book" w:hAnsi="Avenir-Book" w:cs="Avenir-Book"/>
          <w:sz w:val="24"/>
          <w:szCs w:val="24"/>
          <w:lang w:val="en-US"/>
        </w:rPr>
        <w:t>allows</w:t>
      </w:r>
      <w:r>
        <w:rPr>
          <w:rFonts w:ascii="Avenir-Book" w:hAnsi="Avenir-Book" w:cs="Avenir-Book"/>
          <w:sz w:val="24"/>
          <w:szCs w:val="24"/>
          <w:lang w:val="en-US"/>
        </w:rPr>
        <w:t xml:space="preserve"> a constable or other</w:t>
      </w:r>
      <w:r w:rsidR="00A950A1">
        <w:rPr>
          <w:rFonts w:ascii="Avenir-Book" w:hAnsi="Avenir-Book" w:cs="Avenir-Book"/>
          <w:sz w:val="24"/>
          <w:szCs w:val="24"/>
          <w:lang w:val="en-US"/>
        </w:rPr>
        <w:t xml:space="preserve"> </w:t>
      </w:r>
      <w:r>
        <w:rPr>
          <w:rFonts w:ascii="Avenir-Book" w:hAnsi="Avenir-Book" w:cs="Avenir-Book"/>
          <w:sz w:val="24"/>
          <w:szCs w:val="24"/>
          <w:lang w:val="en-US"/>
        </w:rPr>
        <w:t>officer to search or seize property, arrest a</w:t>
      </w:r>
      <w:r w:rsidR="00A950A1">
        <w:rPr>
          <w:rFonts w:ascii="Avenir-Book" w:hAnsi="Avenir-Book" w:cs="Avenir-Book"/>
          <w:sz w:val="24"/>
          <w:szCs w:val="24"/>
          <w:lang w:val="en-US"/>
        </w:rPr>
        <w:t xml:space="preserve"> </w:t>
      </w:r>
      <w:r>
        <w:rPr>
          <w:rFonts w:ascii="Avenir-Book" w:hAnsi="Avenir-Book" w:cs="Avenir-Book"/>
          <w:sz w:val="24"/>
          <w:szCs w:val="24"/>
          <w:lang w:val="en-US"/>
        </w:rPr>
        <w:t>person, or perform some other</w:t>
      </w:r>
      <w:r w:rsidR="00A950A1">
        <w:rPr>
          <w:rFonts w:ascii="Avenir-Book" w:hAnsi="Avenir-Book" w:cs="Avenir-Book"/>
          <w:sz w:val="24"/>
          <w:szCs w:val="24"/>
          <w:lang w:val="en-US"/>
        </w:rPr>
        <w:t xml:space="preserve"> </w:t>
      </w:r>
      <w:r>
        <w:rPr>
          <w:rFonts w:ascii="Avenir-Book" w:hAnsi="Avenir-Book" w:cs="Avenir-Book"/>
          <w:sz w:val="24"/>
          <w:szCs w:val="24"/>
          <w:lang w:val="en-US"/>
        </w:rPr>
        <w:t>specified act.</w:t>
      </w:r>
    </w:p>
    <w:p w14:paraId="1E1D3C48" w14:textId="77777777" w:rsidR="00D641BF" w:rsidRDefault="00D641BF" w:rsidP="00042675">
      <w:pPr>
        <w:autoSpaceDE w:val="0"/>
        <w:autoSpaceDN w:val="0"/>
        <w:adjustRightInd w:val="0"/>
        <w:spacing w:line="240" w:lineRule="auto"/>
        <w:rPr>
          <w:lang w:val="en-US"/>
        </w:rPr>
      </w:pPr>
    </w:p>
    <w:p w14:paraId="3C94AA0A" w14:textId="0E65A6BA" w:rsidR="0086589A" w:rsidRDefault="00EB66B4" w:rsidP="00213548">
      <w:pPr>
        <w:rPr>
          <w:b/>
          <w:bCs/>
          <w:lang w:val="en-US"/>
        </w:rPr>
      </w:pPr>
      <w:r>
        <w:rPr>
          <w:b/>
          <w:bCs/>
          <w:lang w:val="en-US"/>
        </w:rPr>
        <w:t>SAMPLE QUESTIONS</w:t>
      </w:r>
    </w:p>
    <w:p w14:paraId="44FD4C4B" w14:textId="77777777" w:rsidR="004929F9" w:rsidRDefault="004929F9" w:rsidP="004929F9"/>
    <w:p w14:paraId="7E1DD1CE" w14:textId="77777777" w:rsidR="004929F9" w:rsidRDefault="004929F9" w:rsidP="004929F9"/>
    <w:p w14:paraId="5906CE36" w14:textId="257DEE9C" w:rsidR="004929F9" w:rsidRDefault="004929F9" w:rsidP="004929F9">
      <w:pPr>
        <w:pStyle w:val="ListParagraph"/>
        <w:numPr>
          <w:ilvl w:val="0"/>
          <w:numId w:val="32"/>
        </w:numPr>
      </w:pPr>
      <w:r>
        <w:t>A process that a service organization goes through to provide assurance to their customers that the controls of security meet technical requirements for doing business is called a(n)?</w:t>
      </w:r>
    </w:p>
    <w:p w14:paraId="7521C98D" w14:textId="77777777" w:rsidR="004929F9" w:rsidRDefault="004929F9" w:rsidP="004929F9">
      <w:pPr>
        <w:pStyle w:val="ListParagraph"/>
        <w:numPr>
          <w:ilvl w:val="0"/>
          <w:numId w:val="33"/>
        </w:numPr>
      </w:pPr>
      <w:r w:rsidRPr="00E6483C">
        <w:t>Attestation</w:t>
      </w:r>
    </w:p>
    <w:p w14:paraId="2C3E218E" w14:textId="77777777" w:rsidR="004929F9" w:rsidRDefault="004929F9" w:rsidP="004929F9">
      <w:pPr>
        <w:pStyle w:val="ListParagraph"/>
        <w:numPr>
          <w:ilvl w:val="0"/>
          <w:numId w:val="33"/>
        </w:numPr>
      </w:pPr>
      <w:r>
        <w:t>Certification</w:t>
      </w:r>
    </w:p>
    <w:p w14:paraId="669A1DD3" w14:textId="77777777" w:rsidR="004929F9" w:rsidRDefault="004929F9" w:rsidP="004929F9">
      <w:pPr>
        <w:pStyle w:val="ListParagraph"/>
        <w:numPr>
          <w:ilvl w:val="0"/>
          <w:numId w:val="33"/>
        </w:numPr>
      </w:pPr>
      <w:r>
        <w:t>Technical review</w:t>
      </w:r>
    </w:p>
    <w:p w14:paraId="41770E4E" w14:textId="77777777" w:rsidR="004929F9" w:rsidRDefault="004929F9" w:rsidP="004929F9">
      <w:pPr>
        <w:pStyle w:val="ListParagraph"/>
        <w:numPr>
          <w:ilvl w:val="0"/>
          <w:numId w:val="33"/>
        </w:numPr>
      </w:pPr>
      <w:r>
        <w:t>Management review</w:t>
      </w:r>
    </w:p>
    <w:p w14:paraId="54697A1B" w14:textId="77777777" w:rsidR="004929F9" w:rsidRDefault="004929F9" w:rsidP="004929F9"/>
    <w:p w14:paraId="6D7E45BB" w14:textId="2DE82FEE" w:rsidR="004929F9" w:rsidRDefault="004929F9" w:rsidP="004929F9">
      <w:pPr>
        <w:pStyle w:val="ListParagraph"/>
        <w:numPr>
          <w:ilvl w:val="0"/>
          <w:numId w:val="32"/>
        </w:numPr>
      </w:pPr>
      <w:r>
        <w:t xml:space="preserve">Your organization is interested in a new cloud service provider as they have a service that you’ve been looking for that more completely fits your business requirements than </w:t>
      </w:r>
      <w:proofErr w:type="gramStart"/>
      <w:r>
        <w:t>all of</w:t>
      </w:r>
      <w:proofErr w:type="gramEnd"/>
      <w:r>
        <w:t xml:space="preserve"> the other providers that you’ve reviewed. While the senior management of your company doesn’t have concerns about their technology controls, they are concerned that the company has only started doing business in the last four months. What type of audit report would most appropriately address this concern?</w:t>
      </w:r>
    </w:p>
    <w:p w14:paraId="3B938FCE" w14:textId="77777777" w:rsidR="004929F9" w:rsidRDefault="004929F9" w:rsidP="004929F9">
      <w:pPr>
        <w:pStyle w:val="ListParagraph"/>
        <w:numPr>
          <w:ilvl w:val="0"/>
          <w:numId w:val="34"/>
        </w:numPr>
      </w:pPr>
      <w:r>
        <w:t>SOC 2</w:t>
      </w:r>
    </w:p>
    <w:p w14:paraId="2700A7B5" w14:textId="77777777" w:rsidR="004929F9" w:rsidRDefault="004929F9" w:rsidP="004929F9">
      <w:pPr>
        <w:pStyle w:val="ListParagraph"/>
        <w:numPr>
          <w:ilvl w:val="0"/>
          <w:numId w:val="34"/>
        </w:numPr>
      </w:pPr>
      <w:r>
        <w:lastRenderedPageBreak/>
        <w:t>SOC 3</w:t>
      </w:r>
    </w:p>
    <w:p w14:paraId="5F2E845F" w14:textId="41149909" w:rsidR="004929F9" w:rsidRDefault="004929F9" w:rsidP="004929F9">
      <w:pPr>
        <w:pStyle w:val="ListParagraph"/>
        <w:numPr>
          <w:ilvl w:val="0"/>
          <w:numId w:val="34"/>
        </w:numPr>
      </w:pPr>
      <w:r>
        <w:t>Trust Services Principle</w:t>
      </w:r>
    </w:p>
    <w:p w14:paraId="0142BC75" w14:textId="77777777" w:rsidR="002E3C59" w:rsidRDefault="002E3C59" w:rsidP="002E3C59">
      <w:pPr>
        <w:pStyle w:val="ListParagraph"/>
        <w:numPr>
          <w:ilvl w:val="0"/>
          <w:numId w:val="34"/>
        </w:numPr>
      </w:pPr>
      <w:r>
        <w:t>SOC 1</w:t>
      </w:r>
    </w:p>
    <w:p w14:paraId="4E3FD106" w14:textId="77777777" w:rsidR="002E3C59" w:rsidRDefault="002E3C59" w:rsidP="002E3C59">
      <w:pPr>
        <w:pStyle w:val="ListParagraph"/>
      </w:pPr>
    </w:p>
    <w:p w14:paraId="0C1A233C" w14:textId="77777777" w:rsidR="004929F9" w:rsidRDefault="004929F9" w:rsidP="004929F9"/>
    <w:p w14:paraId="61C67B61" w14:textId="64C97605" w:rsidR="004929F9" w:rsidRDefault="004929F9" w:rsidP="004929F9">
      <w:pPr>
        <w:pStyle w:val="ListParagraph"/>
        <w:numPr>
          <w:ilvl w:val="0"/>
          <w:numId w:val="32"/>
        </w:numPr>
      </w:pPr>
      <w:r>
        <w:t xml:space="preserve">An organization is experiencing major problems with shadow IT; namely the individual department heads are each purchasing their own services from cloud providers without going through a central purchasing agent and without getting advice from the technology and security departments. What elements of an </w:t>
      </w:r>
      <w:r w:rsidRPr="00E24EA8">
        <w:t xml:space="preserve">Information Security Management System </w:t>
      </w:r>
      <w:r>
        <w:t>ISMS certification process, like ISO/IEC 27001, would they see most benefit from to help them get control of this dangerous situation?</w:t>
      </w:r>
    </w:p>
    <w:p w14:paraId="16781620" w14:textId="77777777" w:rsidR="004929F9" w:rsidRDefault="004929F9" w:rsidP="00580852">
      <w:pPr>
        <w:pStyle w:val="ListParagraph"/>
        <w:numPr>
          <w:ilvl w:val="0"/>
          <w:numId w:val="35"/>
        </w:numPr>
      </w:pPr>
      <w:r>
        <w:t xml:space="preserve">Information Security Policies, </w:t>
      </w:r>
      <w:r w:rsidRPr="00313400">
        <w:t>Supplier Relationships</w:t>
      </w:r>
      <w:r>
        <w:t>, Compliance</w:t>
      </w:r>
    </w:p>
    <w:p w14:paraId="17F593F5" w14:textId="77777777" w:rsidR="004929F9" w:rsidRDefault="004929F9" w:rsidP="00580852">
      <w:pPr>
        <w:pStyle w:val="ListParagraph"/>
        <w:numPr>
          <w:ilvl w:val="0"/>
          <w:numId w:val="35"/>
        </w:numPr>
      </w:pPr>
      <w:r w:rsidRPr="00313400">
        <w:t>Communications Security</w:t>
      </w:r>
      <w:r>
        <w:t>, Information Security Policies, Compliance</w:t>
      </w:r>
    </w:p>
    <w:p w14:paraId="4339D8AC" w14:textId="77777777" w:rsidR="004929F9" w:rsidRDefault="004929F9" w:rsidP="00580852">
      <w:pPr>
        <w:pStyle w:val="ListParagraph"/>
        <w:numPr>
          <w:ilvl w:val="0"/>
          <w:numId w:val="35"/>
        </w:numPr>
      </w:pPr>
      <w:r>
        <w:t>Operations Security, Information Security Policies, Compliance</w:t>
      </w:r>
    </w:p>
    <w:p w14:paraId="1D3A20F1" w14:textId="77777777" w:rsidR="004929F9" w:rsidRDefault="004929F9" w:rsidP="00580852">
      <w:pPr>
        <w:pStyle w:val="ListParagraph"/>
        <w:numPr>
          <w:ilvl w:val="0"/>
          <w:numId w:val="35"/>
        </w:numPr>
      </w:pPr>
      <w:r>
        <w:t xml:space="preserve">Operations Security, Information Security Policies, </w:t>
      </w:r>
      <w:r w:rsidRPr="00313400">
        <w:t>Communications Security</w:t>
      </w:r>
    </w:p>
    <w:p w14:paraId="7AF57E77" w14:textId="77777777" w:rsidR="004929F9" w:rsidRDefault="004929F9" w:rsidP="004929F9"/>
    <w:p w14:paraId="3701948A" w14:textId="703562A8" w:rsidR="004929F9" w:rsidRDefault="004929F9" w:rsidP="00580852">
      <w:pPr>
        <w:pStyle w:val="ListParagraph"/>
        <w:numPr>
          <w:ilvl w:val="0"/>
          <w:numId w:val="32"/>
        </w:numPr>
      </w:pPr>
      <w:r>
        <w:t xml:space="preserve">A controller (an organization consuming service on a cloud providers’ platform and managing personal data of customers) is using data beyond the agreement of when the customer first signed up for the service. </w:t>
      </w:r>
      <w:proofErr w:type="gramStart"/>
      <w:r>
        <w:t>In particular the</w:t>
      </w:r>
      <w:proofErr w:type="gramEnd"/>
      <w:r>
        <w:t xml:space="preserve"> controller is allowing a partner organization to make use of the customer data as a way of performing statistical analysis of a given population set. They have not informed their customers. What element </w:t>
      </w:r>
      <w:proofErr w:type="gramStart"/>
      <w:r>
        <w:t>of  the</w:t>
      </w:r>
      <w:proofErr w:type="gramEnd"/>
      <w:r>
        <w:t xml:space="preserve"> </w:t>
      </w:r>
      <w:r w:rsidRPr="00580852">
        <w:rPr>
          <w:i/>
          <w:iCs/>
        </w:rPr>
        <w:t xml:space="preserve">Code of Practice for Protection of Personally Identifiable Information (PII) in Public Clouds ISO27018:2019 </w:t>
      </w:r>
      <w:r>
        <w:t>has been violated?</w:t>
      </w:r>
    </w:p>
    <w:p w14:paraId="375E5BF5" w14:textId="77777777" w:rsidR="004929F9" w:rsidRDefault="004929F9" w:rsidP="00580852">
      <w:pPr>
        <w:pStyle w:val="ListParagraph"/>
        <w:numPr>
          <w:ilvl w:val="0"/>
          <w:numId w:val="36"/>
        </w:numPr>
      </w:pPr>
      <w:r>
        <w:t>Consent</w:t>
      </w:r>
    </w:p>
    <w:p w14:paraId="4A97E408" w14:textId="77777777" w:rsidR="002E3C59" w:rsidRDefault="002E3C59" w:rsidP="002E3C59">
      <w:pPr>
        <w:pStyle w:val="ListParagraph"/>
        <w:numPr>
          <w:ilvl w:val="0"/>
          <w:numId w:val="36"/>
        </w:numPr>
      </w:pPr>
      <w:r>
        <w:t>Transparency</w:t>
      </w:r>
    </w:p>
    <w:p w14:paraId="39FA9401" w14:textId="77777777" w:rsidR="004929F9" w:rsidRDefault="004929F9" w:rsidP="00580852">
      <w:pPr>
        <w:pStyle w:val="ListParagraph"/>
        <w:numPr>
          <w:ilvl w:val="0"/>
          <w:numId w:val="36"/>
        </w:numPr>
      </w:pPr>
      <w:r>
        <w:t>Breach</w:t>
      </w:r>
    </w:p>
    <w:p w14:paraId="5D0CC793" w14:textId="77777777" w:rsidR="004929F9" w:rsidRPr="003627F8" w:rsidRDefault="004929F9" w:rsidP="00580852">
      <w:pPr>
        <w:pStyle w:val="ListParagraph"/>
        <w:numPr>
          <w:ilvl w:val="0"/>
          <w:numId w:val="36"/>
        </w:numPr>
      </w:pPr>
      <w:r>
        <w:t>Control</w:t>
      </w:r>
    </w:p>
    <w:p w14:paraId="1AE19AC9" w14:textId="77777777" w:rsidR="004929F9" w:rsidRDefault="004929F9" w:rsidP="004929F9"/>
    <w:p w14:paraId="657744C1" w14:textId="77777777" w:rsidR="004929F9" w:rsidRDefault="004929F9" w:rsidP="004929F9"/>
    <w:p w14:paraId="2B958BF0" w14:textId="2B26DCC4" w:rsidR="004929F9" w:rsidRDefault="004929F9" w:rsidP="00580852">
      <w:pPr>
        <w:pStyle w:val="ListParagraph"/>
        <w:numPr>
          <w:ilvl w:val="0"/>
          <w:numId w:val="32"/>
        </w:numPr>
      </w:pPr>
      <w:r>
        <w:t>What is the minimal documentation that would be provided by a cloud service provider to be in the Cloud Security Alliance STAR registry?</w:t>
      </w:r>
    </w:p>
    <w:p w14:paraId="23263847" w14:textId="77777777" w:rsidR="004929F9" w:rsidRDefault="004929F9" w:rsidP="00580852">
      <w:pPr>
        <w:pStyle w:val="ListParagraph"/>
        <w:numPr>
          <w:ilvl w:val="0"/>
          <w:numId w:val="37"/>
        </w:numPr>
      </w:pPr>
      <w:r>
        <w:t>Self-assessment</w:t>
      </w:r>
    </w:p>
    <w:p w14:paraId="0C49B737" w14:textId="77777777" w:rsidR="004929F9" w:rsidRDefault="004929F9" w:rsidP="00580852">
      <w:pPr>
        <w:pStyle w:val="ListParagraph"/>
        <w:numPr>
          <w:ilvl w:val="0"/>
          <w:numId w:val="37"/>
        </w:numPr>
      </w:pPr>
      <w:r>
        <w:t>Attestation</w:t>
      </w:r>
    </w:p>
    <w:p w14:paraId="03066E09" w14:textId="77777777" w:rsidR="004929F9" w:rsidRDefault="004929F9" w:rsidP="00580852">
      <w:pPr>
        <w:pStyle w:val="ListParagraph"/>
        <w:numPr>
          <w:ilvl w:val="0"/>
          <w:numId w:val="37"/>
        </w:numPr>
      </w:pPr>
      <w:r>
        <w:t>Certification</w:t>
      </w:r>
    </w:p>
    <w:p w14:paraId="28B7F376" w14:textId="77777777" w:rsidR="004929F9" w:rsidRDefault="004929F9" w:rsidP="00580852">
      <w:pPr>
        <w:pStyle w:val="ListParagraph"/>
        <w:numPr>
          <w:ilvl w:val="0"/>
          <w:numId w:val="37"/>
        </w:numPr>
      </w:pPr>
      <w:r>
        <w:t>Continuous audit</w:t>
      </w:r>
    </w:p>
    <w:p w14:paraId="0FBA6D26" w14:textId="77777777" w:rsidR="004929F9" w:rsidRDefault="004929F9" w:rsidP="004929F9"/>
    <w:p w14:paraId="7DFA1042" w14:textId="79674A93" w:rsidR="004929F9" w:rsidRDefault="004929F9" w:rsidP="00580852">
      <w:pPr>
        <w:pStyle w:val="ListParagraph"/>
        <w:numPr>
          <w:ilvl w:val="0"/>
          <w:numId w:val="32"/>
        </w:numPr>
      </w:pPr>
      <w:r>
        <w:lastRenderedPageBreak/>
        <w:t>You will be doing business in the European Union (EU). You are concerned about following the guidelines and mandates specified in the regions that make up that union. To select a cloud service provider that most likely aligned with areas affected by EU laws and regulations what should you utilize?</w:t>
      </w:r>
    </w:p>
    <w:p w14:paraId="5193A150" w14:textId="77777777" w:rsidR="004929F9" w:rsidRDefault="004929F9" w:rsidP="00580852">
      <w:pPr>
        <w:pStyle w:val="ListParagraph"/>
        <w:numPr>
          <w:ilvl w:val="0"/>
          <w:numId w:val="38"/>
        </w:numPr>
      </w:pPr>
      <w:r>
        <w:t>ISO/IEC 27001</w:t>
      </w:r>
    </w:p>
    <w:p w14:paraId="27A0637D" w14:textId="77777777" w:rsidR="004929F9" w:rsidRDefault="004929F9" w:rsidP="00580852">
      <w:pPr>
        <w:pStyle w:val="ListParagraph"/>
        <w:numPr>
          <w:ilvl w:val="0"/>
          <w:numId w:val="38"/>
        </w:numPr>
      </w:pPr>
      <w:r>
        <w:t>ISO/IEC 27017</w:t>
      </w:r>
    </w:p>
    <w:p w14:paraId="4F157BB0" w14:textId="23A6F35C" w:rsidR="004929F9" w:rsidRDefault="004929F9" w:rsidP="00580852">
      <w:pPr>
        <w:pStyle w:val="ListParagraph"/>
        <w:numPr>
          <w:ilvl w:val="0"/>
          <w:numId w:val="38"/>
        </w:numPr>
      </w:pPr>
      <w:r>
        <w:t>ISO/IEC 27018</w:t>
      </w:r>
    </w:p>
    <w:p w14:paraId="6FFCB15A" w14:textId="77777777" w:rsidR="00580852" w:rsidRDefault="00580852" w:rsidP="00580852">
      <w:pPr>
        <w:pStyle w:val="ListParagraph"/>
        <w:numPr>
          <w:ilvl w:val="0"/>
          <w:numId w:val="38"/>
        </w:numPr>
      </w:pPr>
      <w:proofErr w:type="spellStart"/>
      <w:r>
        <w:t>StarAudit</w:t>
      </w:r>
      <w:proofErr w:type="spellEnd"/>
      <w:r>
        <w:t xml:space="preserve"> Framework</w:t>
      </w:r>
    </w:p>
    <w:p w14:paraId="56D2CC83" w14:textId="77777777" w:rsidR="00580852" w:rsidRDefault="00580852" w:rsidP="00580852">
      <w:pPr>
        <w:pStyle w:val="ListParagraph"/>
      </w:pPr>
    </w:p>
    <w:p w14:paraId="0741814B" w14:textId="77777777" w:rsidR="004929F9" w:rsidRDefault="004929F9" w:rsidP="004929F9"/>
    <w:p w14:paraId="7709BC09" w14:textId="7F4F5EE5" w:rsidR="004929F9" w:rsidRDefault="004929F9" w:rsidP="00580852">
      <w:pPr>
        <w:pStyle w:val="ListParagraph"/>
        <w:numPr>
          <w:ilvl w:val="0"/>
          <w:numId w:val="32"/>
        </w:numPr>
      </w:pPr>
      <w:r>
        <w:t xml:space="preserve">Your organization wants to verify that the controls that you have applied to the services you are consuming from your cloud provider meet business, regulatory, and best practice requirements. The audit process will most definitely require testing to prove </w:t>
      </w:r>
      <w:r w:rsidR="00580852">
        <w:t xml:space="preserve">the </w:t>
      </w:r>
      <w:r>
        <w:t>effectiveness of the con</w:t>
      </w:r>
      <w:r w:rsidR="004B5CC2">
        <w:t>6.</w:t>
      </w:r>
      <w:r>
        <w:t>trols. What should you do first?</w:t>
      </w:r>
    </w:p>
    <w:p w14:paraId="7A860A14" w14:textId="77777777" w:rsidR="004929F9" w:rsidRDefault="004929F9" w:rsidP="00580852">
      <w:pPr>
        <w:pStyle w:val="ListParagraph"/>
        <w:numPr>
          <w:ilvl w:val="0"/>
          <w:numId w:val="39"/>
        </w:numPr>
      </w:pPr>
      <w:r>
        <w:t>Begin the test without delay; it is your right to audit your own system</w:t>
      </w:r>
    </w:p>
    <w:p w14:paraId="6B30C668" w14:textId="77777777" w:rsidR="00580852" w:rsidRDefault="00580852" w:rsidP="00580852">
      <w:pPr>
        <w:pStyle w:val="ListParagraph"/>
        <w:numPr>
          <w:ilvl w:val="0"/>
          <w:numId w:val="39"/>
        </w:numPr>
      </w:pPr>
      <w:r>
        <w:t>Review the current policy of testing with from cloud provider</w:t>
      </w:r>
    </w:p>
    <w:p w14:paraId="033D981B" w14:textId="77777777" w:rsidR="004929F9" w:rsidRDefault="004929F9" w:rsidP="00580852">
      <w:pPr>
        <w:pStyle w:val="ListParagraph"/>
        <w:numPr>
          <w:ilvl w:val="0"/>
          <w:numId w:val="39"/>
        </w:numPr>
      </w:pPr>
      <w:r>
        <w:t>Never do testing on the providers system</w:t>
      </w:r>
    </w:p>
    <w:p w14:paraId="6D00FA94" w14:textId="77777777" w:rsidR="004929F9" w:rsidRDefault="004929F9" w:rsidP="00580852">
      <w:pPr>
        <w:pStyle w:val="ListParagraph"/>
        <w:numPr>
          <w:ilvl w:val="0"/>
          <w:numId w:val="39"/>
        </w:numPr>
      </w:pPr>
      <w:r>
        <w:t>Prepare a statement of audit scope</w:t>
      </w:r>
    </w:p>
    <w:p w14:paraId="02B8E476" w14:textId="77777777" w:rsidR="004929F9" w:rsidRDefault="004929F9" w:rsidP="004929F9"/>
    <w:p w14:paraId="0A21391E" w14:textId="7CE894E2" w:rsidR="004929F9" w:rsidRDefault="004929F9" w:rsidP="00580852">
      <w:pPr>
        <w:pStyle w:val="ListParagraph"/>
        <w:numPr>
          <w:ilvl w:val="0"/>
          <w:numId w:val="32"/>
        </w:numPr>
      </w:pPr>
      <w:r>
        <w:t xml:space="preserve">What of the following would be </w:t>
      </w:r>
      <w:r w:rsidR="00580852">
        <w:t xml:space="preserve">the </w:t>
      </w:r>
      <w:r>
        <w:t xml:space="preserve">most meaningful area to start </w:t>
      </w:r>
      <w:proofErr w:type="gramStart"/>
      <w:r>
        <w:t>in order for</w:t>
      </w:r>
      <w:proofErr w:type="gramEnd"/>
      <w:r>
        <w:t xml:space="preserve"> an organization to develop a robust risk and compliance environment?</w:t>
      </w:r>
    </w:p>
    <w:p w14:paraId="3798FADC" w14:textId="77777777" w:rsidR="004929F9" w:rsidRDefault="004929F9" w:rsidP="00580852">
      <w:pPr>
        <w:pStyle w:val="ListParagraph"/>
        <w:numPr>
          <w:ilvl w:val="0"/>
          <w:numId w:val="40"/>
        </w:numPr>
      </w:pPr>
      <w:r>
        <w:t>Risk management framework</w:t>
      </w:r>
    </w:p>
    <w:p w14:paraId="02DC94EB" w14:textId="77777777" w:rsidR="004929F9" w:rsidRDefault="004929F9" w:rsidP="00580852">
      <w:pPr>
        <w:pStyle w:val="ListParagraph"/>
        <w:numPr>
          <w:ilvl w:val="0"/>
          <w:numId w:val="40"/>
        </w:numPr>
      </w:pPr>
      <w:r>
        <w:t>Security controls selection</w:t>
      </w:r>
    </w:p>
    <w:p w14:paraId="6349BF1B" w14:textId="77777777" w:rsidR="004929F9" w:rsidRDefault="004929F9" w:rsidP="00580852">
      <w:pPr>
        <w:pStyle w:val="ListParagraph"/>
        <w:numPr>
          <w:ilvl w:val="0"/>
          <w:numId w:val="40"/>
        </w:numPr>
      </w:pPr>
      <w:r>
        <w:t>Security controls baseline</w:t>
      </w:r>
    </w:p>
    <w:p w14:paraId="1F355072" w14:textId="2A34A3DC" w:rsidR="004929F9" w:rsidRDefault="004929F9" w:rsidP="00580852">
      <w:pPr>
        <w:pStyle w:val="ListParagraph"/>
        <w:numPr>
          <w:ilvl w:val="0"/>
          <w:numId w:val="40"/>
        </w:numPr>
      </w:pPr>
      <w:r>
        <w:t>Security controls audit</w:t>
      </w:r>
    </w:p>
    <w:p w14:paraId="407EEC70" w14:textId="77777777" w:rsidR="00627F8F" w:rsidRPr="00820C3A" w:rsidRDefault="00627F8F" w:rsidP="00627F8F">
      <w:pPr>
        <w:pStyle w:val="ListParagraph"/>
      </w:pPr>
    </w:p>
    <w:p w14:paraId="2A870FA8" w14:textId="2CEFC400" w:rsidR="00627F8F" w:rsidRDefault="00627F8F" w:rsidP="00627F8F">
      <w:pPr>
        <w:pStyle w:val="ListParagraph"/>
        <w:numPr>
          <w:ilvl w:val="0"/>
          <w:numId w:val="32"/>
        </w:numPr>
      </w:pPr>
      <w:r>
        <w:t>An organization has a set of risks that represent a low likelihood of threats being executed but would have a high impact on critical assets if successfully executed. Since the risks meet the acceptable risk profile and appetite for the organization what may the businesses’ most likely response be to the risks?</w:t>
      </w:r>
    </w:p>
    <w:p w14:paraId="1A705888" w14:textId="77777777" w:rsidR="00627F8F" w:rsidRDefault="00627F8F" w:rsidP="00627F8F">
      <w:pPr>
        <w:pStyle w:val="ListParagraph"/>
        <w:numPr>
          <w:ilvl w:val="0"/>
          <w:numId w:val="43"/>
        </w:numPr>
      </w:pPr>
      <w:r>
        <w:t>Modification</w:t>
      </w:r>
    </w:p>
    <w:p w14:paraId="63010B3B" w14:textId="77777777" w:rsidR="00627F8F" w:rsidRDefault="00627F8F" w:rsidP="00627F8F">
      <w:pPr>
        <w:pStyle w:val="ListParagraph"/>
        <w:numPr>
          <w:ilvl w:val="0"/>
          <w:numId w:val="43"/>
        </w:numPr>
      </w:pPr>
      <w:r>
        <w:t>Avoidance</w:t>
      </w:r>
    </w:p>
    <w:p w14:paraId="3A18CE9F" w14:textId="77777777" w:rsidR="00627F8F" w:rsidRDefault="00627F8F" w:rsidP="00627F8F">
      <w:pPr>
        <w:pStyle w:val="ListParagraph"/>
        <w:numPr>
          <w:ilvl w:val="0"/>
          <w:numId w:val="43"/>
        </w:numPr>
      </w:pPr>
      <w:r>
        <w:t>Retention</w:t>
      </w:r>
    </w:p>
    <w:p w14:paraId="64BB6AB9" w14:textId="1D4407C2" w:rsidR="00627F8F" w:rsidRDefault="00627F8F" w:rsidP="00627F8F">
      <w:pPr>
        <w:pStyle w:val="ListParagraph"/>
        <w:numPr>
          <w:ilvl w:val="0"/>
          <w:numId w:val="43"/>
        </w:numPr>
      </w:pPr>
      <w:r>
        <w:t>Sharing</w:t>
      </w:r>
    </w:p>
    <w:p w14:paraId="55EA5DFD" w14:textId="77777777" w:rsidR="00B6566C" w:rsidRDefault="00B6566C" w:rsidP="00B6566C">
      <w:pPr>
        <w:pStyle w:val="ListParagraph"/>
      </w:pPr>
    </w:p>
    <w:p w14:paraId="694A29D7" w14:textId="75C6F4A6" w:rsidR="00627F8F" w:rsidRDefault="00627F8F" w:rsidP="00627F8F">
      <w:r>
        <w:rPr>
          <w:b/>
          <w:bCs/>
          <w:lang w:val="en-US"/>
        </w:rPr>
        <w:t xml:space="preserve">10. </w:t>
      </w:r>
      <w:r>
        <w:t xml:space="preserve">An organization is considering a quantitative analysis of a critical system. It is valued at $9, 600, 000.00. Due to the possibility of </w:t>
      </w:r>
      <w:r>
        <w:t xml:space="preserve">a </w:t>
      </w:r>
      <w:r>
        <w:t>particular disaster</w:t>
      </w:r>
      <w:r>
        <w:t>,</w:t>
      </w:r>
      <w:r>
        <w:t xml:space="preserve"> they calculate an exposure factor of 20 percent. What part of the quantitative analysis has been completed.</w:t>
      </w:r>
    </w:p>
    <w:p w14:paraId="320D801E" w14:textId="7EC13DDE" w:rsidR="00627F8F" w:rsidRDefault="00627F8F" w:rsidP="00627F8F">
      <w:pPr>
        <w:pStyle w:val="ListParagraph"/>
        <w:numPr>
          <w:ilvl w:val="0"/>
          <w:numId w:val="44"/>
        </w:numPr>
      </w:pPr>
      <w:r>
        <w:lastRenderedPageBreak/>
        <w:t>Annual Rate of Occurrence (ARO)</w:t>
      </w:r>
    </w:p>
    <w:p w14:paraId="098030D8" w14:textId="77777777" w:rsidR="00627F8F" w:rsidRDefault="00627F8F" w:rsidP="00627F8F">
      <w:pPr>
        <w:pStyle w:val="ListParagraph"/>
        <w:numPr>
          <w:ilvl w:val="0"/>
          <w:numId w:val="44"/>
        </w:numPr>
      </w:pPr>
      <w:r>
        <w:t>Single Loss Expectancy (SLE)</w:t>
      </w:r>
    </w:p>
    <w:p w14:paraId="4AF8BB5D" w14:textId="77777777" w:rsidR="00627F8F" w:rsidRDefault="00627F8F" w:rsidP="00627F8F">
      <w:pPr>
        <w:pStyle w:val="ListParagraph"/>
        <w:numPr>
          <w:ilvl w:val="0"/>
          <w:numId w:val="44"/>
        </w:numPr>
      </w:pPr>
      <w:r>
        <w:t>Annual Loss Expectancy (ALE)</w:t>
      </w:r>
    </w:p>
    <w:p w14:paraId="4338CF07" w14:textId="77777777" w:rsidR="00627F8F" w:rsidRDefault="00627F8F" w:rsidP="00627F8F">
      <w:pPr>
        <w:pStyle w:val="ListParagraph"/>
        <w:numPr>
          <w:ilvl w:val="0"/>
          <w:numId w:val="44"/>
        </w:numPr>
      </w:pPr>
      <w:r>
        <w:t>Frequency</w:t>
      </w:r>
    </w:p>
    <w:p w14:paraId="6CB9F62C" w14:textId="756B1D20" w:rsidR="00EB66B4" w:rsidRPr="00EB66B4" w:rsidRDefault="00EB66B4" w:rsidP="00213548">
      <w:pPr>
        <w:rPr>
          <w:b/>
          <w:bCs/>
          <w:lang w:val="en-US"/>
        </w:rPr>
      </w:pPr>
    </w:p>
    <w:p w14:paraId="521DB321" w14:textId="22F2437C" w:rsidR="00342EC1" w:rsidRDefault="00342EC1" w:rsidP="00342EC1"/>
    <w:p w14:paraId="4F6781B6" w14:textId="69DE6E26" w:rsidR="00342EC1" w:rsidRPr="00434F82" w:rsidRDefault="00434F82" w:rsidP="00342EC1">
      <w:pPr>
        <w:rPr>
          <w:b/>
          <w:bCs/>
        </w:rPr>
      </w:pPr>
      <w:r w:rsidRPr="00434F82">
        <w:rPr>
          <w:b/>
          <w:bCs/>
        </w:rPr>
        <w:t>ANSWERS</w:t>
      </w:r>
    </w:p>
    <w:p w14:paraId="58C3531C" w14:textId="4AEB472E" w:rsidR="004B5CC2" w:rsidRDefault="004B5CC2" w:rsidP="00342EC1"/>
    <w:p w14:paraId="3F168D12" w14:textId="6E52E8D6" w:rsidR="002E3C59" w:rsidRDefault="00343DA2" w:rsidP="00342EC1">
      <w:r>
        <w:t>1. A. Attestations are designed</w:t>
      </w:r>
      <w:r w:rsidR="00627F8F">
        <w:t xml:space="preserve"> to</w:t>
      </w:r>
      <w:r>
        <w:t xml:space="preserve"> </w:t>
      </w:r>
      <w:r>
        <w:t>provide assurance to their customers that the controls of security meet technical requirements</w:t>
      </w:r>
    </w:p>
    <w:p w14:paraId="22341672" w14:textId="023DEA7E" w:rsidR="002E3C59" w:rsidRDefault="002E3C59" w:rsidP="00342EC1">
      <w:r>
        <w:t>2. D. SOC 1 is designed for auditing controls over financial report</w:t>
      </w:r>
      <w:r w:rsidR="00343DA2">
        <w:t>ing</w:t>
      </w:r>
    </w:p>
    <w:p w14:paraId="42D1B9F4" w14:textId="7232F3ED" w:rsidR="002E3C59" w:rsidRDefault="002E3C59" w:rsidP="002E3C59">
      <w:r>
        <w:t xml:space="preserve">3. A. </w:t>
      </w:r>
      <w:r>
        <w:t xml:space="preserve">Information Security Policies, </w:t>
      </w:r>
      <w:r w:rsidRPr="00313400">
        <w:t>Supplier Relationships</w:t>
      </w:r>
      <w:r>
        <w:t xml:space="preserve">, </w:t>
      </w:r>
      <w:r>
        <w:t xml:space="preserve">and </w:t>
      </w:r>
      <w:r>
        <w:t>Compliance</w:t>
      </w:r>
      <w:r>
        <w:t xml:space="preserve"> are all major elements of ISO 27001.</w:t>
      </w:r>
    </w:p>
    <w:p w14:paraId="0FD94E47" w14:textId="2C42FF8F" w:rsidR="002E3C59" w:rsidRDefault="002E3C59" w:rsidP="00342EC1">
      <w:r>
        <w:t>4. B. Transparency is a requirement of ISO 27018</w:t>
      </w:r>
    </w:p>
    <w:p w14:paraId="7C788DCA" w14:textId="104890E4" w:rsidR="004B5CC2" w:rsidRDefault="004B5CC2" w:rsidP="004B5CC2">
      <w:r>
        <w:t>5.</w:t>
      </w:r>
      <w:r w:rsidR="002E3C59">
        <w:t xml:space="preserve"> A. Self-assessment is the least assurance in the STAR registry.</w:t>
      </w:r>
    </w:p>
    <w:p w14:paraId="50438096" w14:textId="36B94428" w:rsidR="004B5CC2" w:rsidRDefault="004B5CC2" w:rsidP="004B5CC2">
      <w:r>
        <w:t xml:space="preserve">6. D. The </w:t>
      </w:r>
      <w:proofErr w:type="spellStart"/>
      <w:r>
        <w:t>StarAudit</w:t>
      </w:r>
      <w:proofErr w:type="spellEnd"/>
      <w:r>
        <w:t xml:space="preserve"> Framework</w:t>
      </w:r>
      <w:r>
        <w:t xml:space="preserve"> is designed for European cloud consumption management.</w:t>
      </w:r>
    </w:p>
    <w:p w14:paraId="4EE29B22" w14:textId="48A8DE26" w:rsidR="004B5CC2" w:rsidRDefault="004B5CC2" w:rsidP="00342EC1"/>
    <w:p w14:paraId="0501FABA" w14:textId="58584F2F" w:rsidR="004115CC" w:rsidRDefault="00856B55" w:rsidP="00342EC1">
      <w:r>
        <w:t xml:space="preserve"> 7. </w:t>
      </w:r>
      <w:r w:rsidR="004B5CC2">
        <w:t>B</w:t>
      </w:r>
      <w:r>
        <w:t xml:space="preserve">. </w:t>
      </w:r>
      <w:r w:rsidR="004B5CC2">
        <w:t>Know the provider’s rules of engagement before doing testing on their platform.</w:t>
      </w:r>
    </w:p>
    <w:p w14:paraId="49AF7DBD" w14:textId="6C778A42" w:rsidR="00627F8F" w:rsidRDefault="00856B55" w:rsidP="00627F8F">
      <w:r>
        <w:t>8. A. Selecting a risk management framework is a good start to developing a robust risk and compliance program</w:t>
      </w:r>
    </w:p>
    <w:p w14:paraId="3CA1B6E9" w14:textId="0AE725D4" w:rsidR="00627F8F" w:rsidRDefault="00627F8F" w:rsidP="00627F8F">
      <w:r>
        <w:t>9. C. The organization should choose to select “retention” since the likelihood and impact of the threats are low.</w:t>
      </w:r>
    </w:p>
    <w:p w14:paraId="60A2EA64" w14:textId="42C34D4D" w:rsidR="00627F8F" w:rsidRDefault="00627F8F" w:rsidP="00627F8F">
      <w:r>
        <w:t xml:space="preserve">10. The SLE </w:t>
      </w:r>
      <w:r w:rsidR="00B6566C">
        <w:t>calculation</w:t>
      </w:r>
      <w:r>
        <w:t xml:space="preserve"> </w:t>
      </w:r>
      <w:r w:rsidR="00B6566C">
        <w:t>contains the results of the exposure factor multiplied by the asset value</w:t>
      </w:r>
    </w:p>
    <w:p w14:paraId="59794B21" w14:textId="77777777" w:rsidR="00B6566C" w:rsidRPr="00971F2C" w:rsidRDefault="00B6566C" w:rsidP="00627F8F"/>
    <w:sectPr w:rsidR="00B6566C" w:rsidRPr="00971F2C">
      <w:headerReference w:type="default" r:id="rId10"/>
      <w:footerReference w:type="default" r:id="rId11"/>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424DC" w14:textId="77777777" w:rsidR="00C80E75" w:rsidRDefault="00C80E75">
      <w:pPr>
        <w:spacing w:line="240" w:lineRule="auto"/>
      </w:pPr>
      <w:r>
        <w:separator/>
      </w:r>
    </w:p>
  </w:endnote>
  <w:endnote w:type="continuationSeparator" w:id="0">
    <w:p w14:paraId="580A5B87" w14:textId="77777777" w:rsidR="00C80E75" w:rsidRDefault="00C80E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Montserrat SemiBold">
    <w:altName w:val="Montserrat SemiBold"/>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Avenir-Black">
    <w:altName w:val="Calibri"/>
    <w:panose1 w:val="00000000000000000000"/>
    <w:charset w:val="00"/>
    <w:family w:val="swiss"/>
    <w:notTrueType/>
    <w:pitch w:val="default"/>
    <w:sig w:usb0="00000003" w:usb1="00000000" w:usb2="00000000" w:usb3="00000000" w:csb0="00000001" w:csb1="00000000"/>
  </w:font>
  <w:font w:name="Avenir-Book">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37D8" w14:textId="77777777" w:rsidR="00B638D9" w:rsidRDefault="0071470A">
    <w:r>
      <w:rPr>
        <w:noProof/>
      </w:rPr>
      <w:drawing>
        <wp:anchor distT="114300" distB="114300" distL="114300" distR="114300" simplePos="0" relativeHeight="251659264" behindDoc="0" locked="0" layoutInCell="1" hidden="0" allowOverlap="1" wp14:anchorId="2589D00E" wp14:editId="32FF7DE8">
          <wp:simplePos x="0" y="0"/>
          <wp:positionH relativeFrom="column">
            <wp:posOffset>19051</wp:posOffset>
          </wp:positionH>
          <wp:positionV relativeFrom="paragraph">
            <wp:posOffset>9526</wp:posOffset>
          </wp:positionV>
          <wp:extent cx="457200" cy="7620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57200" cy="76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8F4B0" w14:textId="77777777" w:rsidR="00C80E75" w:rsidRDefault="00C80E75">
      <w:pPr>
        <w:spacing w:line="240" w:lineRule="auto"/>
      </w:pPr>
      <w:r>
        <w:separator/>
      </w:r>
    </w:p>
  </w:footnote>
  <w:footnote w:type="continuationSeparator" w:id="0">
    <w:p w14:paraId="54EB4513" w14:textId="77777777" w:rsidR="00C80E75" w:rsidRDefault="00C80E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03A1" w14:textId="77777777" w:rsidR="00B638D9" w:rsidRDefault="0071470A">
    <w:r>
      <w:rPr>
        <w:noProof/>
      </w:rPr>
      <w:drawing>
        <wp:anchor distT="114300" distB="114300" distL="114300" distR="114300" simplePos="0" relativeHeight="251658240" behindDoc="0" locked="0" layoutInCell="1" hidden="0" allowOverlap="1" wp14:anchorId="3D7FC963" wp14:editId="6A5DA4D8">
          <wp:simplePos x="0" y="0"/>
          <wp:positionH relativeFrom="column">
            <wp:posOffset>-66674</wp:posOffset>
          </wp:positionH>
          <wp:positionV relativeFrom="paragraph">
            <wp:posOffset>-95249</wp:posOffset>
          </wp:positionV>
          <wp:extent cx="1199147" cy="3286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9147" cy="3286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6812"/>
    <w:multiLevelType w:val="hybridMultilevel"/>
    <w:tmpl w:val="97AAC6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326F1"/>
    <w:multiLevelType w:val="multilevel"/>
    <w:tmpl w:val="3A8C9D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E871513"/>
    <w:multiLevelType w:val="hybridMultilevel"/>
    <w:tmpl w:val="33AA6D8E"/>
    <w:lvl w:ilvl="0" w:tplc="69B859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385A74"/>
    <w:multiLevelType w:val="hybridMultilevel"/>
    <w:tmpl w:val="A6C2CB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D1E86"/>
    <w:multiLevelType w:val="hybridMultilevel"/>
    <w:tmpl w:val="C45EF370"/>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E675A9"/>
    <w:multiLevelType w:val="hybridMultilevel"/>
    <w:tmpl w:val="39E6B1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F76FF0"/>
    <w:multiLevelType w:val="multilevel"/>
    <w:tmpl w:val="2F2AA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014949"/>
    <w:multiLevelType w:val="multilevel"/>
    <w:tmpl w:val="74986C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E379E1"/>
    <w:multiLevelType w:val="multilevel"/>
    <w:tmpl w:val="0AFA88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DEF7DF8"/>
    <w:multiLevelType w:val="hybridMultilevel"/>
    <w:tmpl w:val="C7EA0A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AA7B37"/>
    <w:multiLevelType w:val="multilevel"/>
    <w:tmpl w:val="622E1B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0E2441D"/>
    <w:multiLevelType w:val="multilevel"/>
    <w:tmpl w:val="A8B46F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47977AD"/>
    <w:multiLevelType w:val="multilevel"/>
    <w:tmpl w:val="EE583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A21607D"/>
    <w:multiLevelType w:val="hybridMultilevel"/>
    <w:tmpl w:val="C542F6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C48E4"/>
    <w:multiLevelType w:val="multilevel"/>
    <w:tmpl w:val="284C57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0C2420E"/>
    <w:multiLevelType w:val="hybridMultilevel"/>
    <w:tmpl w:val="C1DA7E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8470C0"/>
    <w:multiLevelType w:val="hybridMultilevel"/>
    <w:tmpl w:val="A00A29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3F402C"/>
    <w:multiLevelType w:val="multilevel"/>
    <w:tmpl w:val="2D64D8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B8A5509"/>
    <w:multiLevelType w:val="multilevel"/>
    <w:tmpl w:val="0A500F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BD35D58"/>
    <w:multiLevelType w:val="hybridMultilevel"/>
    <w:tmpl w:val="BE38DB80"/>
    <w:lvl w:ilvl="0" w:tplc="9A96D6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F62998"/>
    <w:multiLevelType w:val="multilevel"/>
    <w:tmpl w:val="D2083C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FC82113"/>
    <w:multiLevelType w:val="hybridMultilevel"/>
    <w:tmpl w:val="262E00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8A0DD5"/>
    <w:multiLevelType w:val="multilevel"/>
    <w:tmpl w:val="A484D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4C1721C"/>
    <w:multiLevelType w:val="multilevel"/>
    <w:tmpl w:val="D118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5336661"/>
    <w:multiLevelType w:val="multilevel"/>
    <w:tmpl w:val="D3AAC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6740EA4"/>
    <w:multiLevelType w:val="hybridMultilevel"/>
    <w:tmpl w:val="A4E21970"/>
    <w:lvl w:ilvl="0" w:tplc="9B76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F3504"/>
    <w:multiLevelType w:val="hybridMultilevel"/>
    <w:tmpl w:val="37FC17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57E7C"/>
    <w:multiLevelType w:val="hybridMultilevel"/>
    <w:tmpl w:val="7C5EC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E33E93"/>
    <w:multiLevelType w:val="multilevel"/>
    <w:tmpl w:val="7AE4D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38561EF"/>
    <w:multiLevelType w:val="hybridMultilevel"/>
    <w:tmpl w:val="53C054D4"/>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3A0619"/>
    <w:multiLevelType w:val="hybridMultilevel"/>
    <w:tmpl w:val="7C5EC72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1890A1B"/>
    <w:multiLevelType w:val="hybridMultilevel"/>
    <w:tmpl w:val="E8FA5068"/>
    <w:lvl w:ilvl="0" w:tplc="1898BD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984F0E"/>
    <w:multiLevelType w:val="hybridMultilevel"/>
    <w:tmpl w:val="3DC400EA"/>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2D30A7B"/>
    <w:multiLevelType w:val="hybridMultilevel"/>
    <w:tmpl w:val="878A43C4"/>
    <w:lvl w:ilvl="0" w:tplc="AAF6305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55BCD"/>
    <w:multiLevelType w:val="hybridMultilevel"/>
    <w:tmpl w:val="34006BF6"/>
    <w:lvl w:ilvl="0" w:tplc="02D897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97FDD"/>
    <w:multiLevelType w:val="hybridMultilevel"/>
    <w:tmpl w:val="5428E89A"/>
    <w:lvl w:ilvl="0" w:tplc="02D897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1B4076"/>
    <w:multiLevelType w:val="hybridMultilevel"/>
    <w:tmpl w:val="5E9AC87E"/>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FEF6476"/>
    <w:multiLevelType w:val="hybridMultilevel"/>
    <w:tmpl w:val="A41EBB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AF40F9"/>
    <w:multiLevelType w:val="hybridMultilevel"/>
    <w:tmpl w:val="C45EF3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0B1406"/>
    <w:multiLevelType w:val="hybridMultilevel"/>
    <w:tmpl w:val="B79E97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274204"/>
    <w:multiLevelType w:val="multilevel"/>
    <w:tmpl w:val="A8DEE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3432076"/>
    <w:multiLevelType w:val="multilevel"/>
    <w:tmpl w:val="24A2B9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D64314C"/>
    <w:multiLevelType w:val="hybridMultilevel"/>
    <w:tmpl w:val="4E28ECC0"/>
    <w:lvl w:ilvl="0" w:tplc="02D89714">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E0D7A94"/>
    <w:multiLevelType w:val="multilevel"/>
    <w:tmpl w:val="A3243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49308207">
    <w:abstractNumId w:val="24"/>
  </w:num>
  <w:num w:numId="2" w16cid:durableId="928199617">
    <w:abstractNumId w:val="23"/>
  </w:num>
  <w:num w:numId="3" w16cid:durableId="1735741248">
    <w:abstractNumId w:val="40"/>
  </w:num>
  <w:num w:numId="4" w16cid:durableId="992611305">
    <w:abstractNumId w:val="7"/>
  </w:num>
  <w:num w:numId="5" w16cid:durableId="455484662">
    <w:abstractNumId w:val="41"/>
  </w:num>
  <w:num w:numId="6" w16cid:durableId="1636177808">
    <w:abstractNumId w:val="6"/>
  </w:num>
  <w:num w:numId="7" w16cid:durableId="966593353">
    <w:abstractNumId w:val="18"/>
  </w:num>
  <w:num w:numId="8" w16cid:durableId="1408453363">
    <w:abstractNumId w:val="22"/>
  </w:num>
  <w:num w:numId="9" w16cid:durableId="821967431">
    <w:abstractNumId w:val="12"/>
  </w:num>
  <w:num w:numId="10" w16cid:durableId="1499225547">
    <w:abstractNumId w:val="20"/>
  </w:num>
  <w:num w:numId="11" w16cid:durableId="71002300">
    <w:abstractNumId w:val="17"/>
  </w:num>
  <w:num w:numId="12" w16cid:durableId="1624924308">
    <w:abstractNumId w:val="10"/>
  </w:num>
  <w:num w:numId="13" w16cid:durableId="1467775523">
    <w:abstractNumId w:val="14"/>
  </w:num>
  <w:num w:numId="14" w16cid:durableId="504976434">
    <w:abstractNumId w:val="8"/>
  </w:num>
  <w:num w:numId="15" w16cid:durableId="1981573979">
    <w:abstractNumId w:val="43"/>
  </w:num>
  <w:num w:numId="16" w16cid:durableId="272439483">
    <w:abstractNumId w:val="28"/>
  </w:num>
  <w:num w:numId="17" w16cid:durableId="1213418536">
    <w:abstractNumId w:val="1"/>
  </w:num>
  <w:num w:numId="18" w16cid:durableId="86317273">
    <w:abstractNumId w:val="11"/>
  </w:num>
  <w:num w:numId="19" w16cid:durableId="2046783754">
    <w:abstractNumId w:val="19"/>
  </w:num>
  <w:num w:numId="20" w16cid:durableId="504593816">
    <w:abstractNumId w:val="35"/>
  </w:num>
  <w:num w:numId="21" w16cid:durableId="1521313259">
    <w:abstractNumId w:val="2"/>
  </w:num>
  <w:num w:numId="22" w16cid:durableId="144515658">
    <w:abstractNumId w:val="32"/>
  </w:num>
  <w:num w:numId="23" w16cid:durableId="1381320596">
    <w:abstractNumId w:val="16"/>
  </w:num>
  <w:num w:numId="24" w16cid:durableId="1868568376">
    <w:abstractNumId w:val="0"/>
  </w:num>
  <w:num w:numId="25" w16cid:durableId="655376735">
    <w:abstractNumId w:val="3"/>
  </w:num>
  <w:num w:numId="26" w16cid:durableId="799954732">
    <w:abstractNumId w:val="37"/>
  </w:num>
  <w:num w:numId="27" w16cid:durableId="1255359539">
    <w:abstractNumId w:val="29"/>
  </w:num>
  <w:num w:numId="28" w16cid:durableId="1519152053">
    <w:abstractNumId w:val="26"/>
  </w:num>
  <w:num w:numId="29" w16cid:durableId="1250314747">
    <w:abstractNumId w:val="39"/>
  </w:num>
  <w:num w:numId="30" w16cid:durableId="491608622">
    <w:abstractNumId w:val="25"/>
  </w:num>
  <w:num w:numId="31" w16cid:durableId="873227522">
    <w:abstractNumId w:val="33"/>
  </w:num>
  <w:num w:numId="32" w16cid:durableId="1616865303">
    <w:abstractNumId w:val="31"/>
  </w:num>
  <w:num w:numId="33" w16cid:durableId="2074234813">
    <w:abstractNumId w:val="21"/>
  </w:num>
  <w:num w:numId="34" w16cid:durableId="1671905024">
    <w:abstractNumId w:val="15"/>
  </w:num>
  <w:num w:numId="35" w16cid:durableId="1102265386">
    <w:abstractNumId w:val="27"/>
  </w:num>
  <w:num w:numId="36" w16cid:durableId="2129351572">
    <w:abstractNumId w:val="42"/>
  </w:num>
  <w:num w:numId="37" w16cid:durableId="1025057426">
    <w:abstractNumId w:val="34"/>
  </w:num>
  <w:num w:numId="38" w16cid:durableId="1091464982">
    <w:abstractNumId w:val="38"/>
  </w:num>
  <w:num w:numId="39" w16cid:durableId="2097045967">
    <w:abstractNumId w:val="5"/>
  </w:num>
  <w:num w:numId="40" w16cid:durableId="1208495924">
    <w:abstractNumId w:val="9"/>
  </w:num>
  <w:num w:numId="41" w16cid:durableId="906763689">
    <w:abstractNumId w:val="4"/>
  </w:num>
  <w:num w:numId="42" w16cid:durableId="229273155">
    <w:abstractNumId w:val="30"/>
  </w:num>
  <w:num w:numId="43" w16cid:durableId="813644474">
    <w:abstractNumId w:val="36"/>
  </w:num>
  <w:num w:numId="44" w16cid:durableId="13896513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2MbU0MbCwAGJjIyUdpeDU4uLM/DyQAstaADEo2GosAAAA"/>
  </w:docVars>
  <w:rsids>
    <w:rsidRoot w:val="00B638D9"/>
    <w:rsid w:val="00032D67"/>
    <w:rsid w:val="00042675"/>
    <w:rsid w:val="00056ADA"/>
    <w:rsid w:val="00062C51"/>
    <w:rsid w:val="000913B0"/>
    <w:rsid w:val="00102A18"/>
    <w:rsid w:val="00117EA4"/>
    <w:rsid w:val="00151C1D"/>
    <w:rsid w:val="001847F4"/>
    <w:rsid w:val="001B52FA"/>
    <w:rsid w:val="001C2D04"/>
    <w:rsid w:val="001C3B90"/>
    <w:rsid w:val="001E27E9"/>
    <w:rsid w:val="001E3DC0"/>
    <w:rsid w:val="00213548"/>
    <w:rsid w:val="00221E00"/>
    <w:rsid w:val="00226A16"/>
    <w:rsid w:val="00244A19"/>
    <w:rsid w:val="0025500F"/>
    <w:rsid w:val="002B16AF"/>
    <w:rsid w:val="002E3C59"/>
    <w:rsid w:val="002E68CF"/>
    <w:rsid w:val="00342EC1"/>
    <w:rsid w:val="00343DA2"/>
    <w:rsid w:val="0036694F"/>
    <w:rsid w:val="003759FD"/>
    <w:rsid w:val="00380CCD"/>
    <w:rsid w:val="003B1603"/>
    <w:rsid w:val="003C3B86"/>
    <w:rsid w:val="003E595E"/>
    <w:rsid w:val="004115CC"/>
    <w:rsid w:val="00433FC0"/>
    <w:rsid w:val="00434F82"/>
    <w:rsid w:val="004353DE"/>
    <w:rsid w:val="00474C5E"/>
    <w:rsid w:val="004918FC"/>
    <w:rsid w:val="004929F9"/>
    <w:rsid w:val="00492E87"/>
    <w:rsid w:val="004B5CC2"/>
    <w:rsid w:val="004F456F"/>
    <w:rsid w:val="004F4AD0"/>
    <w:rsid w:val="00506C69"/>
    <w:rsid w:val="005076A5"/>
    <w:rsid w:val="00526CB3"/>
    <w:rsid w:val="005351F9"/>
    <w:rsid w:val="00535FCA"/>
    <w:rsid w:val="00537070"/>
    <w:rsid w:val="00576423"/>
    <w:rsid w:val="00580453"/>
    <w:rsid w:val="00580852"/>
    <w:rsid w:val="0058503B"/>
    <w:rsid w:val="005F6994"/>
    <w:rsid w:val="00627F8F"/>
    <w:rsid w:val="00640097"/>
    <w:rsid w:val="006566B1"/>
    <w:rsid w:val="00680A4B"/>
    <w:rsid w:val="0068168A"/>
    <w:rsid w:val="006865DE"/>
    <w:rsid w:val="006A1DEB"/>
    <w:rsid w:val="006A5A9B"/>
    <w:rsid w:val="006A75D4"/>
    <w:rsid w:val="006B3E04"/>
    <w:rsid w:val="006C1B99"/>
    <w:rsid w:val="006F1AD0"/>
    <w:rsid w:val="0071470A"/>
    <w:rsid w:val="007227DF"/>
    <w:rsid w:val="0073144C"/>
    <w:rsid w:val="007316C5"/>
    <w:rsid w:val="007374AA"/>
    <w:rsid w:val="00785ED8"/>
    <w:rsid w:val="007875CC"/>
    <w:rsid w:val="007B5548"/>
    <w:rsid w:val="007C4AEE"/>
    <w:rsid w:val="008121A4"/>
    <w:rsid w:val="00856B55"/>
    <w:rsid w:val="0086589A"/>
    <w:rsid w:val="008E3AF6"/>
    <w:rsid w:val="008F0531"/>
    <w:rsid w:val="008F46B2"/>
    <w:rsid w:val="00946887"/>
    <w:rsid w:val="009529D3"/>
    <w:rsid w:val="0095310D"/>
    <w:rsid w:val="009542E4"/>
    <w:rsid w:val="0096538D"/>
    <w:rsid w:val="00971F2C"/>
    <w:rsid w:val="009720F2"/>
    <w:rsid w:val="00982D89"/>
    <w:rsid w:val="009D62C0"/>
    <w:rsid w:val="009E13EB"/>
    <w:rsid w:val="009F01CE"/>
    <w:rsid w:val="009F2ACD"/>
    <w:rsid w:val="00A06E05"/>
    <w:rsid w:val="00A950A1"/>
    <w:rsid w:val="00AC37CC"/>
    <w:rsid w:val="00B51C56"/>
    <w:rsid w:val="00B638D9"/>
    <w:rsid w:val="00B6566C"/>
    <w:rsid w:val="00B82CF4"/>
    <w:rsid w:val="00B82E3E"/>
    <w:rsid w:val="00BB5585"/>
    <w:rsid w:val="00BB5A24"/>
    <w:rsid w:val="00BB651C"/>
    <w:rsid w:val="00BC6E9A"/>
    <w:rsid w:val="00C269C0"/>
    <w:rsid w:val="00C437B8"/>
    <w:rsid w:val="00C80E75"/>
    <w:rsid w:val="00C84D69"/>
    <w:rsid w:val="00C9343B"/>
    <w:rsid w:val="00CF29BF"/>
    <w:rsid w:val="00D02D03"/>
    <w:rsid w:val="00D641BF"/>
    <w:rsid w:val="00D95356"/>
    <w:rsid w:val="00DF11AF"/>
    <w:rsid w:val="00E24A36"/>
    <w:rsid w:val="00E54F3E"/>
    <w:rsid w:val="00EB4BE6"/>
    <w:rsid w:val="00EB66B4"/>
    <w:rsid w:val="00EC3654"/>
    <w:rsid w:val="00EE30C9"/>
    <w:rsid w:val="00EE4B58"/>
    <w:rsid w:val="00EF4FD8"/>
    <w:rsid w:val="00F12604"/>
    <w:rsid w:val="00F52D79"/>
    <w:rsid w:val="00F71EB0"/>
    <w:rsid w:val="00F84C98"/>
    <w:rsid w:val="00FC7DC6"/>
    <w:rsid w:val="00FE0902"/>
    <w:rsid w:val="00FE2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9B47"/>
  <w15:docId w15:val="{12B25004-6157-4F9E-8B8F-5B476E72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 w:type="paragraph" w:styleId="ListParagraph">
    <w:name w:val="List Paragraph"/>
    <w:basedOn w:val="Normal"/>
    <w:uiPriority w:val="34"/>
    <w:qFormat/>
    <w:rsid w:val="005351F9"/>
    <w:pPr>
      <w:ind w:left="720"/>
      <w:contextualSpacing/>
    </w:pPr>
  </w:style>
  <w:style w:type="paragraph" w:styleId="NormalWeb">
    <w:name w:val="Normal (Web)"/>
    <w:basedOn w:val="Normal"/>
    <w:uiPriority w:val="99"/>
    <w:semiHidden/>
    <w:unhideWhenUsed/>
    <w:rsid w:val="003E595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651C"/>
    <w:rPr>
      <w:color w:val="0000FF" w:themeColor="hyperlink"/>
      <w:u w:val="single"/>
    </w:rPr>
  </w:style>
  <w:style w:type="character" w:styleId="UnresolvedMention">
    <w:name w:val="Unresolved Mention"/>
    <w:basedOn w:val="DefaultParagraphFont"/>
    <w:uiPriority w:val="99"/>
    <w:semiHidden/>
    <w:unhideWhenUsed/>
    <w:rsid w:val="00BB651C"/>
    <w:rPr>
      <w:color w:val="605E5C"/>
      <w:shd w:val="clear" w:color="auto" w:fill="E1DFDD"/>
    </w:rPr>
  </w:style>
  <w:style w:type="character" w:customStyle="1" w:styleId="redactor-invisible-space">
    <w:name w:val="redactor-invisible-space"/>
    <w:basedOn w:val="DefaultParagraphFont"/>
    <w:rsid w:val="004F4AD0"/>
  </w:style>
  <w:style w:type="paragraph" w:styleId="Header">
    <w:name w:val="header"/>
    <w:basedOn w:val="Normal"/>
    <w:link w:val="HeaderChar"/>
    <w:uiPriority w:val="99"/>
    <w:unhideWhenUsed/>
    <w:rsid w:val="00433FC0"/>
    <w:pPr>
      <w:tabs>
        <w:tab w:val="center" w:pos="4680"/>
        <w:tab w:val="right" w:pos="9360"/>
      </w:tabs>
      <w:spacing w:line="240" w:lineRule="auto"/>
    </w:pPr>
  </w:style>
  <w:style w:type="character" w:customStyle="1" w:styleId="HeaderChar">
    <w:name w:val="Header Char"/>
    <w:basedOn w:val="DefaultParagraphFont"/>
    <w:link w:val="Header"/>
    <w:uiPriority w:val="99"/>
    <w:rsid w:val="00433FC0"/>
  </w:style>
  <w:style w:type="paragraph" w:styleId="Footer">
    <w:name w:val="footer"/>
    <w:basedOn w:val="Normal"/>
    <w:link w:val="FooterChar"/>
    <w:uiPriority w:val="99"/>
    <w:unhideWhenUsed/>
    <w:rsid w:val="00433FC0"/>
    <w:pPr>
      <w:tabs>
        <w:tab w:val="center" w:pos="4680"/>
        <w:tab w:val="right" w:pos="9360"/>
      </w:tabs>
      <w:spacing w:line="240" w:lineRule="auto"/>
    </w:pPr>
  </w:style>
  <w:style w:type="character" w:customStyle="1" w:styleId="FooterChar">
    <w:name w:val="Footer Char"/>
    <w:basedOn w:val="DefaultParagraphFont"/>
    <w:link w:val="Footer"/>
    <w:uiPriority w:val="99"/>
    <w:rsid w:val="00433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5339">
      <w:bodyDiv w:val="1"/>
      <w:marLeft w:val="0"/>
      <w:marRight w:val="0"/>
      <w:marTop w:val="0"/>
      <w:marBottom w:val="0"/>
      <w:divBdr>
        <w:top w:val="none" w:sz="0" w:space="0" w:color="auto"/>
        <w:left w:val="none" w:sz="0" w:space="0" w:color="auto"/>
        <w:bottom w:val="none" w:sz="0" w:space="0" w:color="auto"/>
        <w:right w:val="none" w:sz="0" w:space="0" w:color="auto"/>
      </w:divBdr>
    </w:div>
    <w:div w:id="234556823">
      <w:bodyDiv w:val="1"/>
      <w:marLeft w:val="0"/>
      <w:marRight w:val="0"/>
      <w:marTop w:val="0"/>
      <w:marBottom w:val="0"/>
      <w:divBdr>
        <w:top w:val="none" w:sz="0" w:space="0" w:color="auto"/>
        <w:left w:val="none" w:sz="0" w:space="0" w:color="auto"/>
        <w:bottom w:val="none" w:sz="0" w:space="0" w:color="auto"/>
        <w:right w:val="none" w:sz="0" w:space="0" w:color="auto"/>
      </w:divBdr>
    </w:div>
    <w:div w:id="560871920">
      <w:bodyDiv w:val="1"/>
      <w:marLeft w:val="0"/>
      <w:marRight w:val="0"/>
      <w:marTop w:val="0"/>
      <w:marBottom w:val="0"/>
      <w:divBdr>
        <w:top w:val="none" w:sz="0" w:space="0" w:color="auto"/>
        <w:left w:val="none" w:sz="0" w:space="0" w:color="auto"/>
        <w:bottom w:val="none" w:sz="0" w:space="0" w:color="auto"/>
        <w:right w:val="none" w:sz="0" w:space="0" w:color="auto"/>
      </w:divBdr>
      <w:divsChild>
        <w:div w:id="692999685">
          <w:marLeft w:val="-115"/>
          <w:marRight w:val="0"/>
          <w:marTop w:val="0"/>
          <w:marBottom w:val="0"/>
          <w:divBdr>
            <w:top w:val="none" w:sz="0" w:space="0" w:color="auto"/>
            <w:left w:val="none" w:sz="0" w:space="0" w:color="auto"/>
            <w:bottom w:val="none" w:sz="0" w:space="0" w:color="auto"/>
            <w:right w:val="none" w:sz="0" w:space="0" w:color="auto"/>
          </w:divBdr>
        </w:div>
      </w:divsChild>
    </w:div>
    <w:div w:id="856313113">
      <w:bodyDiv w:val="1"/>
      <w:marLeft w:val="0"/>
      <w:marRight w:val="0"/>
      <w:marTop w:val="0"/>
      <w:marBottom w:val="0"/>
      <w:divBdr>
        <w:top w:val="none" w:sz="0" w:space="0" w:color="auto"/>
        <w:left w:val="none" w:sz="0" w:space="0" w:color="auto"/>
        <w:bottom w:val="none" w:sz="0" w:space="0" w:color="auto"/>
        <w:right w:val="none" w:sz="0" w:space="0" w:color="auto"/>
      </w:divBdr>
    </w:div>
    <w:div w:id="923687317">
      <w:bodyDiv w:val="1"/>
      <w:marLeft w:val="0"/>
      <w:marRight w:val="0"/>
      <w:marTop w:val="0"/>
      <w:marBottom w:val="0"/>
      <w:divBdr>
        <w:top w:val="none" w:sz="0" w:space="0" w:color="auto"/>
        <w:left w:val="none" w:sz="0" w:space="0" w:color="auto"/>
        <w:bottom w:val="none" w:sz="0" w:space="0" w:color="auto"/>
        <w:right w:val="none" w:sz="0" w:space="0" w:color="auto"/>
      </w:divBdr>
    </w:div>
    <w:div w:id="1237128666">
      <w:bodyDiv w:val="1"/>
      <w:marLeft w:val="0"/>
      <w:marRight w:val="0"/>
      <w:marTop w:val="0"/>
      <w:marBottom w:val="0"/>
      <w:divBdr>
        <w:top w:val="none" w:sz="0" w:space="0" w:color="auto"/>
        <w:left w:val="none" w:sz="0" w:space="0" w:color="auto"/>
        <w:bottom w:val="none" w:sz="0" w:space="0" w:color="auto"/>
        <w:right w:val="none" w:sz="0" w:space="0" w:color="auto"/>
      </w:divBdr>
    </w:div>
    <w:div w:id="1790204813">
      <w:bodyDiv w:val="1"/>
      <w:marLeft w:val="0"/>
      <w:marRight w:val="0"/>
      <w:marTop w:val="0"/>
      <w:marBottom w:val="0"/>
      <w:divBdr>
        <w:top w:val="none" w:sz="0" w:space="0" w:color="auto"/>
        <w:left w:val="none" w:sz="0" w:space="0" w:color="auto"/>
        <w:bottom w:val="none" w:sz="0" w:space="0" w:color="auto"/>
        <w:right w:val="none" w:sz="0" w:space="0" w:color="auto"/>
      </w:divBdr>
    </w:div>
    <w:div w:id="1925911395">
      <w:bodyDiv w:val="1"/>
      <w:marLeft w:val="0"/>
      <w:marRight w:val="0"/>
      <w:marTop w:val="0"/>
      <w:marBottom w:val="0"/>
      <w:divBdr>
        <w:top w:val="none" w:sz="0" w:space="0" w:color="auto"/>
        <w:left w:val="none" w:sz="0" w:space="0" w:color="auto"/>
        <w:bottom w:val="none" w:sz="0" w:space="0" w:color="auto"/>
        <w:right w:val="none" w:sz="0" w:space="0" w:color="auto"/>
      </w:divBdr>
      <w:divsChild>
        <w:div w:id="255595774">
          <w:marLeft w:val="0"/>
          <w:marRight w:val="0"/>
          <w:marTop w:val="0"/>
          <w:marBottom w:val="0"/>
          <w:divBdr>
            <w:top w:val="none" w:sz="0" w:space="0" w:color="auto"/>
            <w:left w:val="none" w:sz="0" w:space="0" w:color="auto"/>
            <w:bottom w:val="none" w:sz="0" w:space="0" w:color="auto"/>
            <w:right w:val="none" w:sz="0" w:space="0" w:color="auto"/>
          </w:divBdr>
        </w:div>
      </w:divsChild>
    </w:div>
    <w:div w:id="2099985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c2.org/-/media/ISC2/Certifications/Exam-Outlines/CCSP-Exam-Outline-2022.ash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sc2.org/Certifications/CCSP/Certification-Exam-Outlin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loud.connect.isc2.org/ccsp-flashcard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9</Pages>
  <Words>2609</Words>
  <Characters>14875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Lyron Andrews</dc:creator>
  <cp:lastModifiedBy>Dr. Lyron Andrews</cp:lastModifiedBy>
  <cp:revision>6</cp:revision>
  <dcterms:created xsi:type="dcterms:W3CDTF">2022-07-15T11:53:00Z</dcterms:created>
  <dcterms:modified xsi:type="dcterms:W3CDTF">2022-07-15T13:01:00Z</dcterms:modified>
</cp:coreProperties>
</file>